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41679">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附件1：采购内容一览表</w:t>
      </w:r>
    </w:p>
    <w:tbl>
      <w:tblPr>
        <w:tblStyle w:val="2"/>
        <w:tblW w:w="9120" w:type="dxa"/>
        <w:tblInd w:w="-26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0"/>
        <w:gridCol w:w="1665"/>
        <w:gridCol w:w="2670"/>
        <w:gridCol w:w="1605"/>
        <w:gridCol w:w="2310"/>
      </w:tblGrid>
      <w:tr w14:paraId="4DBA3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1" w:hRule="atLeast"/>
        </w:trPr>
        <w:tc>
          <w:tcPr>
            <w:tcW w:w="870" w:type="dxa"/>
            <w:vAlign w:val="center"/>
          </w:tcPr>
          <w:p w14:paraId="7F0495B9">
            <w:pPr>
              <w:pStyle w:val="5"/>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65" w:type="dxa"/>
            <w:vAlign w:val="center"/>
          </w:tcPr>
          <w:p w14:paraId="79C9ADAD">
            <w:pPr>
              <w:pStyle w:val="5"/>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评标办法</w:t>
            </w:r>
          </w:p>
        </w:tc>
        <w:tc>
          <w:tcPr>
            <w:tcW w:w="2670" w:type="dxa"/>
            <w:vAlign w:val="center"/>
          </w:tcPr>
          <w:p w14:paraId="4ACC9338">
            <w:pPr>
              <w:pStyle w:val="5"/>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管理费控制价</w:t>
            </w:r>
          </w:p>
        </w:tc>
        <w:tc>
          <w:tcPr>
            <w:tcW w:w="1605" w:type="dxa"/>
            <w:vAlign w:val="center"/>
          </w:tcPr>
          <w:p w14:paraId="5AE1B7C1">
            <w:pPr>
              <w:pStyle w:val="5"/>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服务期限</w:t>
            </w:r>
          </w:p>
        </w:tc>
        <w:tc>
          <w:tcPr>
            <w:tcW w:w="2310" w:type="dxa"/>
            <w:vAlign w:val="center"/>
          </w:tcPr>
          <w:p w14:paraId="062F4927">
            <w:pPr>
              <w:pStyle w:val="5"/>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计划投放数量</w:t>
            </w:r>
          </w:p>
        </w:tc>
      </w:tr>
      <w:tr w14:paraId="0FF56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9" w:hRule="atLeast"/>
        </w:trPr>
        <w:tc>
          <w:tcPr>
            <w:tcW w:w="870" w:type="dxa"/>
            <w:vAlign w:val="center"/>
          </w:tcPr>
          <w:p w14:paraId="2CFBCF33">
            <w:pPr>
              <w:pStyle w:val="5"/>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665" w:type="dxa"/>
            <w:vAlign w:val="center"/>
          </w:tcPr>
          <w:p w14:paraId="1EFFFA2D">
            <w:pPr>
              <w:pStyle w:val="5"/>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综合评分法</w:t>
            </w:r>
          </w:p>
        </w:tc>
        <w:tc>
          <w:tcPr>
            <w:tcW w:w="2670" w:type="dxa"/>
            <w:vAlign w:val="center"/>
          </w:tcPr>
          <w:p w14:paraId="0461DA5C">
            <w:pPr>
              <w:pStyle w:val="5"/>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不少于</w:t>
            </w:r>
            <w:r>
              <w:rPr>
                <w:rFonts w:hint="eastAsia" w:ascii="宋体" w:hAnsi="宋体" w:eastAsia="宋体" w:cs="宋体"/>
                <w:b w:val="0"/>
                <w:bCs w:val="0"/>
                <w:color w:val="auto"/>
                <w:sz w:val="21"/>
                <w:szCs w:val="21"/>
                <w:highlight w:val="none"/>
                <w:lang w:eastAsia="zh-CN"/>
              </w:rPr>
              <w:t>30元/台/月（不含增值税）</w:t>
            </w:r>
          </w:p>
        </w:tc>
        <w:tc>
          <w:tcPr>
            <w:tcW w:w="1605" w:type="dxa"/>
            <w:vAlign w:val="center"/>
          </w:tcPr>
          <w:p w14:paraId="1764AF0E">
            <w:pPr>
              <w:pStyle w:val="5"/>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3年</w:t>
            </w:r>
          </w:p>
        </w:tc>
        <w:tc>
          <w:tcPr>
            <w:tcW w:w="2310" w:type="dxa"/>
            <w:vAlign w:val="center"/>
          </w:tcPr>
          <w:p w14:paraId="579B87BF">
            <w:pPr>
              <w:pStyle w:val="5"/>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≥26台</w:t>
            </w:r>
          </w:p>
        </w:tc>
      </w:tr>
    </w:tbl>
    <w:p w14:paraId="54DE5ED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909C6FF">
      <w:pPr>
        <w:spacing w:line="360" w:lineRule="auto"/>
        <w:rPr>
          <w:rFonts w:hint="eastAsia" w:ascii="宋体" w:hAnsi="宋体" w:eastAsia="宋体" w:cs="宋体"/>
          <w:sz w:val="21"/>
          <w:szCs w:val="21"/>
        </w:rPr>
      </w:pPr>
      <w:r>
        <w:rPr>
          <w:rFonts w:hint="eastAsia" w:ascii="宋体" w:hAnsi="宋体" w:eastAsia="宋体" w:cs="宋体"/>
          <w:color w:val="auto"/>
          <w:sz w:val="21"/>
          <w:szCs w:val="21"/>
          <w:highlight w:val="none"/>
        </w:rPr>
        <w:t>1、报价涵盖管理费、运维费等综合费用，</w:t>
      </w:r>
      <w:r>
        <w:rPr>
          <w:rFonts w:hint="eastAsia" w:ascii="宋体" w:hAnsi="宋体" w:cs="宋体"/>
          <w:color w:val="auto"/>
          <w:sz w:val="21"/>
          <w:szCs w:val="21"/>
          <w:highlight w:val="none"/>
          <w:lang w:val="en-US" w:eastAsia="zh-CN"/>
        </w:rPr>
        <w:t>按季度结算</w:t>
      </w:r>
      <w:r>
        <w:rPr>
          <w:rFonts w:hint="eastAsia" w:ascii="宋体" w:hAnsi="宋体" w:eastAsia="宋体" w:cs="宋体"/>
          <w:color w:val="auto"/>
          <w:sz w:val="21"/>
          <w:szCs w:val="21"/>
          <w:highlight w:val="none"/>
          <w:lang w:eastAsia="zh-CN"/>
        </w:rPr>
        <w:t>，</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报价人低于该价格的报价为无效报价；</w:t>
      </w:r>
    </w:p>
    <w:p w14:paraId="5F6AC6C5">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中标人需根据院方的管理需要，无条件配合增减共享轮椅投放数量，具体费用据实结算。</w:t>
      </w:r>
    </w:p>
    <w:p w14:paraId="488921E2">
      <w:pPr>
        <w:spacing w:line="360" w:lineRule="auto"/>
        <w:rPr>
          <w:rFonts w:hint="eastAsia" w:ascii="宋体" w:hAnsi="宋体" w:eastAsia="宋体" w:cs="宋体"/>
          <w:sz w:val="21"/>
          <w:szCs w:val="21"/>
        </w:rPr>
      </w:pPr>
      <w:r>
        <w:rPr>
          <w:rFonts w:hint="eastAsia" w:ascii="宋体" w:hAnsi="宋体" w:eastAsia="宋体" w:cs="宋体"/>
          <w:b/>
          <w:bCs/>
          <w:sz w:val="21"/>
          <w:szCs w:val="21"/>
        </w:rPr>
        <w:t>附件2：技术和服务要求</w:t>
      </w:r>
    </w:p>
    <w:p w14:paraId="14985B07">
      <w:pPr>
        <w:spacing w:line="360" w:lineRule="auto"/>
        <w:rPr>
          <w:rFonts w:hint="eastAsia" w:ascii="宋体" w:hAnsi="宋体" w:eastAsia="宋体" w:cs="宋体"/>
          <w:sz w:val="21"/>
          <w:szCs w:val="21"/>
        </w:rPr>
      </w:pPr>
      <w:r>
        <w:rPr>
          <w:rFonts w:hint="eastAsia" w:ascii="宋体" w:hAnsi="宋体" w:eastAsia="宋体" w:cs="宋体"/>
          <w:b/>
          <w:bCs/>
          <w:sz w:val="21"/>
          <w:szCs w:val="21"/>
        </w:rPr>
        <w:t>一、服务内容及要求（以"★"标示的内容为不允许负偏离的实质性要求）</w:t>
      </w:r>
    </w:p>
    <w:p w14:paraId="7C5905F2">
      <w:pPr>
        <w:spacing w:line="360" w:lineRule="auto"/>
        <w:rPr>
          <w:rFonts w:hint="eastAsia" w:ascii="宋体" w:hAnsi="宋体" w:eastAsia="宋体" w:cs="宋体"/>
          <w:sz w:val="21"/>
          <w:szCs w:val="21"/>
        </w:rPr>
      </w:pPr>
      <w:r>
        <w:rPr>
          <w:rFonts w:hint="eastAsia" w:ascii="宋体" w:hAnsi="宋体" w:eastAsia="宋体" w:cs="宋体"/>
          <w:sz w:val="21"/>
          <w:szCs w:val="21"/>
        </w:rPr>
        <w:t>1.在医院指定位置投放共享轮椅，提供共享租赁服务。</w:t>
      </w:r>
    </w:p>
    <w:p w14:paraId="26F00680">
      <w:pPr>
        <w:spacing w:line="360" w:lineRule="auto"/>
        <w:rPr>
          <w:rFonts w:hint="eastAsia" w:ascii="宋体" w:hAnsi="宋体" w:eastAsia="宋体" w:cs="宋体"/>
          <w:sz w:val="21"/>
          <w:szCs w:val="21"/>
          <w:highlight w:val="yellow"/>
        </w:rPr>
      </w:pPr>
      <w:r>
        <w:rPr>
          <w:rFonts w:hint="eastAsia" w:ascii="宋体" w:hAnsi="宋体" w:eastAsia="宋体" w:cs="宋体"/>
          <w:sz w:val="21"/>
          <w:szCs w:val="21"/>
        </w:rPr>
        <w:t>2.对共享轮椅定期安排人员进行维护、保养、清洁、消毒、更换，保证医院共享轮椅服务正常运行</w:t>
      </w:r>
      <w:r>
        <w:rPr>
          <w:rFonts w:hint="eastAsia" w:ascii="宋体" w:hAnsi="宋体" w:eastAsia="宋体" w:cs="宋体"/>
          <w:sz w:val="21"/>
          <w:szCs w:val="21"/>
          <w:highlight w:val="none"/>
          <w:lang w:eastAsia="zh-CN"/>
        </w:rPr>
        <w:t>，</w:t>
      </w:r>
      <w:r>
        <w:rPr>
          <w:rStyle w:val="4"/>
          <w:rFonts w:hint="eastAsia" w:ascii="宋体" w:hAnsi="宋体" w:eastAsia="宋体" w:cs="宋体"/>
          <w:b w:val="0"/>
          <w:bCs w:val="0"/>
          <w:i w:val="0"/>
          <w:iCs w:val="0"/>
          <w:caps w:val="0"/>
          <w:color w:val="auto"/>
          <w:spacing w:val="0"/>
          <w:sz w:val="21"/>
          <w:szCs w:val="21"/>
          <w:highlight w:val="none"/>
          <w:shd w:val="clear" w:color="auto" w:fill="FFFFFF"/>
        </w:rPr>
        <w:t>确保设备完好率≥95%</w:t>
      </w:r>
      <w:r>
        <w:rPr>
          <w:rFonts w:hint="eastAsia" w:ascii="宋体" w:hAnsi="宋体" w:eastAsia="宋体" w:cs="宋体"/>
          <w:sz w:val="21"/>
          <w:szCs w:val="21"/>
        </w:rPr>
        <w:t>。</w:t>
      </w:r>
    </w:p>
    <w:p w14:paraId="6472B9E6">
      <w:pPr>
        <w:spacing w:line="360" w:lineRule="auto"/>
        <w:rPr>
          <w:rFonts w:hint="eastAsia" w:ascii="宋体" w:hAnsi="宋体" w:eastAsia="宋体" w:cs="宋体"/>
          <w:sz w:val="21"/>
          <w:szCs w:val="21"/>
          <w:lang w:val="en-US" w:eastAsia="zh-CN"/>
        </w:rPr>
      </w:pP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3.归</w:t>
      </w:r>
      <w:r>
        <w:rPr>
          <w:rFonts w:hint="eastAsia" w:ascii="宋体" w:hAnsi="宋体" w:eastAsia="宋体" w:cs="宋体"/>
          <w:i w:val="0"/>
          <w:iCs w:val="0"/>
          <w:caps w:val="0"/>
          <w:color w:val="auto"/>
          <w:spacing w:val="0"/>
          <w:sz w:val="21"/>
          <w:szCs w:val="21"/>
          <w:highlight w:val="none"/>
          <w:shd w:val="clear" w:color="auto" w:fill="FFFFFF"/>
        </w:rPr>
        <w:t>还共享轮椅时，轮椅须完全折叠并放置回原位后方可上锁并进行归还操作，若轮椅未放置原位则无法进行归还操作。</w:t>
      </w:r>
    </w:p>
    <w:p w14:paraId="074200CD">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客服电话的接听与应急处置：需承诺提供7*24小时</w:t>
      </w:r>
      <w:r>
        <w:rPr>
          <w:rFonts w:hint="eastAsia" w:ascii="宋体" w:hAnsi="宋体" w:eastAsia="宋体" w:cs="宋体"/>
          <w:sz w:val="21"/>
          <w:szCs w:val="21"/>
        </w:rPr>
        <w:t>服务电话，确保共享轮椅出现异常及时解决</w:t>
      </w:r>
      <w:r>
        <w:rPr>
          <w:rFonts w:hint="eastAsia" w:ascii="宋体" w:hAnsi="宋体" w:eastAsia="宋体" w:cs="宋体"/>
          <w:sz w:val="21"/>
          <w:szCs w:val="21"/>
          <w:lang w:val="en-US" w:eastAsia="zh-CN"/>
        </w:rPr>
        <w:t>（提供承诺函，格式自拟）</w:t>
      </w:r>
      <w:r>
        <w:rPr>
          <w:rFonts w:hint="eastAsia" w:ascii="宋体" w:hAnsi="宋体" w:eastAsia="宋体" w:cs="宋体"/>
          <w:sz w:val="21"/>
          <w:szCs w:val="21"/>
        </w:rPr>
        <w:t>。</w:t>
      </w:r>
    </w:p>
    <w:p w14:paraId="1A94599B">
      <w:pPr>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sz w:val="21"/>
          <w:szCs w:val="21"/>
        </w:rPr>
        <w:t>.★需</w:t>
      </w:r>
      <w:r>
        <w:rPr>
          <w:rFonts w:hint="eastAsia" w:ascii="宋体" w:hAnsi="宋体" w:eastAsia="宋体" w:cs="宋体"/>
          <w:sz w:val="21"/>
          <w:szCs w:val="21"/>
          <w:lang w:val="en-US" w:eastAsia="zh-CN"/>
        </w:rPr>
        <w:t>配置</w:t>
      </w:r>
      <w:r>
        <w:rPr>
          <w:rFonts w:hint="eastAsia" w:ascii="宋体" w:hAnsi="宋体" w:eastAsia="宋体" w:cs="宋体"/>
          <w:color w:val="auto"/>
          <w:sz w:val="21"/>
          <w:szCs w:val="21"/>
          <w:highlight w:val="none"/>
          <w:lang w:val="en-US" w:eastAsia="zh-CN"/>
        </w:rPr>
        <w:t>专职驻点人员1名，应急保障技术人员1名</w:t>
      </w:r>
      <w:r>
        <w:rPr>
          <w:rFonts w:hint="eastAsia" w:ascii="宋体" w:hAnsi="宋体" w:eastAsia="宋体" w:cs="宋体"/>
          <w:color w:val="auto"/>
          <w:sz w:val="21"/>
          <w:szCs w:val="21"/>
          <w:highlight w:val="none"/>
        </w:rPr>
        <w:t>对医院共享轮椅进行管理，服务人员必须具备</w:t>
      </w:r>
      <w:r>
        <w:rPr>
          <w:rFonts w:hint="eastAsia" w:ascii="宋体" w:hAnsi="宋体" w:eastAsia="宋体" w:cs="宋体"/>
          <w:bCs/>
          <w:color w:val="auto"/>
          <w:sz w:val="21"/>
          <w:szCs w:val="21"/>
          <w:highlight w:val="none"/>
          <w:lang w:eastAsia="zh-CN"/>
        </w:rPr>
        <w:t>行政主管部门颁发的“防火安</w:t>
      </w:r>
      <w:r>
        <w:rPr>
          <w:rFonts w:hint="eastAsia" w:ascii="宋体" w:hAnsi="宋体" w:cs="宋体"/>
          <w:bCs/>
          <w:color w:val="auto"/>
          <w:sz w:val="21"/>
          <w:szCs w:val="21"/>
          <w:highlight w:val="none"/>
          <w:lang w:val="en-US" w:eastAsia="zh-CN"/>
        </w:rPr>
        <w:t>全</w:t>
      </w:r>
      <w:r>
        <w:rPr>
          <w:rFonts w:hint="eastAsia" w:ascii="宋体" w:hAnsi="宋体" w:eastAsia="宋体" w:cs="宋体"/>
          <w:bCs/>
          <w:color w:val="auto"/>
          <w:sz w:val="21"/>
          <w:szCs w:val="21"/>
          <w:highlight w:val="none"/>
          <w:lang w:eastAsia="zh-CN"/>
        </w:rPr>
        <w:t>操作专项职业能力</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证</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低压电工作业”</w:t>
      </w:r>
      <w:r>
        <w:rPr>
          <w:rFonts w:hint="eastAsia" w:ascii="宋体" w:hAnsi="宋体" w:cs="宋体"/>
          <w:bCs/>
          <w:color w:val="auto"/>
          <w:sz w:val="21"/>
          <w:szCs w:val="21"/>
          <w:highlight w:val="none"/>
          <w:lang w:val="en-US" w:eastAsia="zh-CN"/>
        </w:rPr>
        <w:t>证</w:t>
      </w:r>
      <w:r>
        <w:rPr>
          <w:rFonts w:hint="eastAsia" w:ascii="宋体" w:hAnsi="宋体" w:eastAsia="宋体" w:cs="宋体"/>
          <w:bCs/>
          <w:color w:val="auto"/>
          <w:sz w:val="21"/>
          <w:szCs w:val="21"/>
          <w:highlight w:val="none"/>
          <w:lang w:eastAsia="zh-CN"/>
        </w:rPr>
        <w:t>合格证书，</w:t>
      </w:r>
      <w:r>
        <w:rPr>
          <w:rFonts w:hint="eastAsia" w:ascii="宋体" w:hAnsi="宋体" w:eastAsia="宋体" w:cs="宋体"/>
          <w:color w:val="auto"/>
          <w:sz w:val="21"/>
          <w:szCs w:val="21"/>
          <w:highlight w:val="none"/>
        </w:rPr>
        <w:t>达到上岗要求。</w:t>
      </w:r>
    </w:p>
    <w:p w14:paraId="2E98E288">
      <w:pPr>
        <w:spacing w:line="360" w:lineRule="auto"/>
        <w:rPr>
          <w:rFonts w:hint="eastAsia" w:ascii="宋体" w:hAnsi="宋体" w:eastAsia="宋体" w:cs="宋体"/>
          <w:sz w:val="21"/>
          <w:szCs w:val="21"/>
        </w:rPr>
      </w:pP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6.</w:t>
      </w:r>
      <w:r>
        <w:rPr>
          <w:rFonts w:hint="eastAsia" w:ascii="宋体" w:hAnsi="宋体" w:eastAsia="宋体" w:cs="宋体"/>
          <w:sz w:val="21"/>
          <w:szCs w:val="21"/>
        </w:rPr>
        <w:t>共享轮椅必须符合国家相关质量标准，如因质量问题造成病人跌倒或相关安全责任及赔偿全部由供应商负责。</w:t>
      </w:r>
    </w:p>
    <w:p w14:paraId="7E3E4A2F">
      <w:pPr>
        <w:spacing w:line="360" w:lineRule="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.服从医院管理的统一安排，若遇医院特殊情况需要配合搬离、挪动或暂停服务等情况，需无条件服从安排。</w:t>
      </w:r>
    </w:p>
    <w:p w14:paraId="61E61515">
      <w:pPr>
        <w:spacing w:line="360" w:lineRule="auto"/>
        <w:rPr>
          <w:rFonts w:hint="eastAsia" w:ascii="宋体" w:hAnsi="宋体" w:eastAsia="宋体" w:cs="宋体"/>
          <w:sz w:val="21"/>
          <w:szCs w:val="21"/>
          <w:highlight w:val="none"/>
        </w:rPr>
      </w:pPr>
      <w:r>
        <w:rPr>
          <w:rFonts w:hint="eastAsia" w:ascii="宋体" w:hAnsi="宋体" w:cs="宋体"/>
          <w:sz w:val="21"/>
          <w:szCs w:val="21"/>
          <w:lang w:val="en-US" w:eastAsia="zh-CN"/>
        </w:rPr>
        <w:t>8</w:t>
      </w:r>
      <w:r>
        <w:rPr>
          <w:rFonts w:hint="eastAsia" w:ascii="宋体" w:hAnsi="宋体" w:eastAsia="宋体" w:cs="宋体"/>
          <w:sz w:val="21"/>
          <w:szCs w:val="21"/>
        </w:rPr>
        <w:t>.★供应商需承诺，为本项目投保公众责任险（第三方责任险），单次事故赔偿限额</w:t>
      </w:r>
      <w:r>
        <w:rPr>
          <w:rFonts w:hint="eastAsia" w:ascii="宋体" w:hAnsi="宋体" w:eastAsia="宋体" w:cs="宋体"/>
          <w:sz w:val="21"/>
          <w:szCs w:val="21"/>
          <w:highlight w:val="none"/>
          <w:lang w:val="en-US"/>
        </w:rPr>
        <w:t>至少100</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（提供承诺函，格式自拟）</w:t>
      </w:r>
      <w:r>
        <w:rPr>
          <w:rFonts w:hint="eastAsia" w:ascii="宋体" w:hAnsi="宋体" w:eastAsia="宋体" w:cs="宋体"/>
          <w:sz w:val="21"/>
          <w:szCs w:val="21"/>
          <w:highlight w:val="none"/>
        </w:rPr>
        <w:t>。</w:t>
      </w:r>
    </w:p>
    <w:p w14:paraId="449A6A90">
      <w:pPr>
        <w:spacing w:line="360" w:lineRule="auto"/>
        <w:rPr>
          <w:rFonts w:hint="eastAsia" w:ascii="宋体" w:hAnsi="宋体" w:eastAsia="宋体" w:cs="宋体"/>
          <w:color w:val="auto"/>
          <w:sz w:val="21"/>
          <w:szCs w:val="21"/>
          <w:highlight w:val="none"/>
          <w:lang w:eastAsia="zh-CN"/>
        </w:rPr>
      </w:pPr>
      <w:r>
        <w:rPr>
          <w:rFonts w:hint="eastAsia" w:ascii="宋体" w:hAnsi="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color w:val="auto"/>
          <w:sz w:val="21"/>
          <w:szCs w:val="21"/>
          <w:highlight w:val="none"/>
        </w:rPr>
        <w:t xml:space="preserve"> 共享轮椅应具备智能锁、GPS定位、</w:t>
      </w:r>
      <w:r>
        <w:rPr>
          <w:rFonts w:hint="eastAsia" w:ascii="宋体" w:hAnsi="宋体" w:cs="宋体"/>
          <w:color w:val="auto"/>
          <w:sz w:val="21"/>
          <w:szCs w:val="21"/>
          <w:highlight w:val="none"/>
          <w:lang w:val="en-US" w:eastAsia="zh-CN"/>
        </w:rPr>
        <w:t>支持微信</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支付宝扫码使用</w:t>
      </w:r>
      <w:r>
        <w:rPr>
          <w:rFonts w:hint="eastAsia" w:ascii="宋体" w:hAnsi="宋体" w:eastAsia="宋体" w:cs="宋体"/>
          <w:color w:val="auto"/>
          <w:sz w:val="21"/>
          <w:szCs w:val="21"/>
          <w:highlight w:val="none"/>
        </w:rPr>
        <w:t>，智能锁功能稳定，租借流程顺畅，提醒功能完备</w:t>
      </w:r>
      <w:r>
        <w:rPr>
          <w:rFonts w:hint="eastAsia" w:ascii="宋体" w:hAnsi="宋体" w:cs="宋体"/>
          <w:color w:val="auto"/>
          <w:sz w:val="21"/>
          <w:szCs w:val="21"/>
          <w:highlight w:val="none"/>
          <w:lang w:eastAsia="zh-CN"/>
        </w:rPr>
        <w:t>。</w:t>
      </w:r>
    </w:p>
    <w:p w14:paraId="604732A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w:t>
      </w:r>
      <w:r>
        <w:rPr>
          <w:rFonts w:hint="eastAsia" w:ascii="宋体" w:hAnsi="宋体" w:eastAsia="宋体" w:cs="宋体"/>
          <w:sz w:val="21"/>
          <w:szCs w:val="21"/>
        </w:rPr>
        <w:t>需承诺</w:t>
      </w:r>
      <w:r>
        <w:rPr>
          <w:rFonts w:hint="eastAsia" w:ascii="宋体" w:hAnsi="宋体" w:eastAsia="宋体" w:cs="宋体"/>
          <w:sz w:val="21"/>
          <w:szCs w:val="21"/>
          <w:lang w:val="en-US" w:eastAsia="zh-CN"/>
        </w:rPr>
        <w:t>中标方</w:t>
      </w:r>
      <w:r>
        <w:rPr>
          <w:rFonts w:hint="eastAsia" w:ascii="宋体" w:hAnsi="宋体" w:cs="宋体"/>
          <w:sz w:val="21"/>
          <w:szCs w:val="21"/>
          <w:lang w:val="en-US" w:eastAsia="zh-CN"/>
        </w:rPr>
        <w:t>投</w:t>
      </w:r>
      <w:r>
        <w:rPr>
          <w:rFonts w:hint="eastAsia" w:ascii="宋体" w:hAnsi="宋体" w:eastAsia="宋体" w:cs="宋体"/>
          <w:sz w:val="21"/>
          <w:szCs w:val="21"/>
        </w:rPr>
        <w:t>入设备及运营期间，</w:t>
      </w:r>
      <w:r>
        <w:rPr>
          <w:rFonts w:hint="eastAsia" w:ascii="宋体" w:hAnsi="宋体" w:eastAsia="宋体" w:cs="宋体"/>
          <w:sz w:val="21"/>
          <w:szCs w:val="21"/>
          <w:lang w:val="en-US" w:eastAsia="zh-CN"/>
        </w:rPr>
        <w:t>设备损坏、遗失</w:t>
      </w:r>
      <w:r>
        <w:rPr>
          <w:rFonts w:hint="eastAsia" w:ascii="宋体" w:hAnsi="宋体" w:eastAsia="宋体" w:cs="宋体"/>
          <w:sz w:val="21"/>
          <w:szCs w:val="21"/>
        </w:rPr>
        <w:t>产生的</w:t>
      </w:r>
      <w:r>
        <w:rPr>
          <w:rFonts w:hint="eastAsia" w:ascii="宋体" w:hAnsi="宋体" w:eastAsia="宋体" w:cs="宋体"/>
          <w:sz w:val="21"/>
          <w:szCs w:val="21"/>
          <w:lang w:val="en-US" w:eastAsia="zh-CN"/>
        </w:rPr>
        <w:t>费用</w:t>
      </w:r>
      <w:r>
        <w:rPr>
          <w:rFonts w:hint="eastAsia" w:ascii="宋体" w:hAnsi="宋体" w:eastAsia="宋体" w:cs="宋体"/>
          <w:sz w:val="21"/>
          <w:szCs w:val="21"/>
        </w:rPr>
        <w:t>均由</w:t>
      </w:r>
      <w:r>
        <w:rPr>
          <w:rFonts w:hint="eastAsia" w:ascii="宋体" w:hAnsi="宋体" w:eastAsia="宋体" w:cs="宋体"/>
          <w:sz w:val="21"/>
          <w:szCs w:val="21"/>
          <w:lang w:val="en-US" w:eastAsia="zh-CN"/>
        </w:rPr>
        <w:t>中标方自行</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3D449EFB">
      <w:pPr>
        <w:numPr>
          <w:ilvl w:val="0"/>
          <w:numId w:val="0"/>
        </w:numPr>
        <w:spacing w:line="360" w:lineRule="auto"/>
        <w:jc w:val="left"/>
        <w:rPr>
          <w:rStyle w:val="4"/>
          <w:rFonts w:hint="default" w:ascii="宋体" w:hAnsi="宋体" w:eastAsia="宋体" w:cs="宋体"/>
          <w:b w:val="0"/>
          <w:bCs w:val="0"/>
          <w:i w:val="0"/>
          <w:iCs w:val="0"/>
          <w:caps w:val="0"/>
          <w:color w:val="auto"/>
          <w:spacing w:val="0"/>
          <w:sz w:val="21"/>
          <w:szCs w:val="21"/>
          <w:highlight w:val="none"/>
          <w:shd w:val="clear" w:color="auto" w:fill="FFFFFF"/>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收费模式</w:t>
      </w:r>
      <w:r>
        <w:rPr>
          <w:rStyle w:val="4"/>
          <w:rFonts w:hint="eastAsia" w:ascii="宋体" w:hAnsi="宋体" w:cs="宋体"/>
          <w:b w:val="0"/>
          <w:bCs w:val="0"/>
          <w:i w:val="0"/>
          <w:iCs w:val="0"/>
          <w:caps w:val="0"/>
          <w:color w:val="auto"/>
          <w:spacing w:val="0"/>
          <w:sz w:val="21"/>
          <w:szCs w:val="21"/>
          <w:highlight w:val="none"/>
          <w:shd w:val="clear" w:color="auto" w:fill="FFFFFF"/>
          <w:lang w:val="en-US" w:eastAsia="zh-CN"/>
        </w:rPr>
        <w:t>：</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使用共享轮椅押金不高于300元,前半个小时免费使用,之后按3元/小时收费,不足一小时按一小时计算,单次最高收费30元(24小时以内为单次时间段),归还轮椅后自动从使用人的微信账户扣费,使用完毕后按提示退还押金。运行期间使用人所支付的使用费收入归运营方所有。</w:t>
      </w:r>
      <w:r>
        <w:rPr>
          <w:rStyle w:val="4"/>
          <w:rFonts w:hint="eastAsia" w:ascii="宋体" w:hAnsi="宋体" w:cs="宋体"/>
          <w:b w:val="0"/>
          <w:bCs w:val="0"/>
          <w:i w:val="0"/>
          <w:iCs w:val="0"/>
          <w:caps w:val="0"/>
          <w:color w:val="auto"/>
          <w:spacing w:val="0"/>
          <w:sz w:val="21"/>
          <w:szCs w:val="21"/>
          <w:highlight w:val="none"/>
          <w:shd w:val="clear" w:color="auto" w:fill="FFFFFF"/>
          <w:lang w:val="en-US" w:eastAsia="zh-CN"/>
        </w:rPr>
        <w:t>收费标准可与院方协商确定，经院方确认后方可实施。</w:t>
      </w:r>
    </w:p>
    <w:p w14:paraId="4AAF4FD2">
      <w:pPr>
        <w:numPr>
          <w:ilvl w:val="0"/>
          <w:numId w:val="0"/>
        </w:numPr>
        <w:spacing w:line="360" w:lineRule="auto"/>
        <w:jc w:val="left"/>
        <w:rPr>
          <w:rStyle w:val="4"/>
          <w:rFonts w:hint="default" w:ascii="宋体" w:hAnsi="宋体" w:eastAsia="宋体" w:cs="宋体"/>
          <w:b w:val="0"/>
          <w:bCs w:val="0"/>
          <w:i w:val="0"/>
          <w:iCs w:val="0"/>
          <w:caps w:val="0"/>
          <w:color w:val="auto"/>
          <w:spacing w:val="0"/>
          <w:sz w:val="21"/>
          <w:szCs w:val="21"/>
          <w:highlight w:val="none"/>
          <w:shd w:val="clear" w:color="auto" w:fill="FFFFFF"/>
          <w:lang w:val="en-US" w:eastAsia="zh-CN"/>
        </w:rPr>
      </w:pP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1</w:t>
      </w:r>
      <w:r>
        <w:rPr>
          <w:rStyle w:val="4"/>
          <w:rFonts w:hint="eastAsia" w:ascii="宋体" w:hAnsi="宋体" w:cs="宋体"/>
          <w:b w:val="0"/>
          <w:bCs w:val="0"/>
          <w:i w:val="0"/>
          <w:iCs w:val="0"/>
          <w:caps w:val="0"/>
          <w:color w:val="auto"/>
          <w:spacing w:val="0"/>
          <w:sz w:val="21"/>
          <w:szCs w:val="21"/>
          <w:highlight w:val="none"/>
          <w:shd w:val="clear" w:color="auto" w:fill="FFFFFF"/>
          <w:lang w:val="en-US" w:eastAsia="zh-CN"/>
        </w:rPr>
        <w:t>2</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w:t>
      </w:r>
      <w:r>
        <w:rPr>
          <w:rStyle w:val="4"/>
          <w:rFonts w:hint="eastAsia" w:ascii="宋体" w:hAnsi="宋体" w:eastAsia="宋体" w:cs="宋体"/>
          <w:b w:val="0"/>
          <w:bCs w:val="0"/>
          <w:i w:val="0"/>
          <w:iCs w:val="0"/>
          <w:caps w:val="0"/>
          <w:color w:val="auto"/>
          <w:spacing w:val="0"/>
          <w:sz w:val="21"/>
          <w:szCs w:val="21"/>
          <w:highlight w:val="none"/>
          <w:shd w:val="clear" w:color="auto" w:fill="FFFFFF"/>
          <w:lang w:eastAsia="zh-CN"/>
        </w:rPr>
        <w:t>管理费：</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不少于</w:t>
      </w:r>
      <w:r>
        <w:rPr>
          <w:rStyle w:val="4"/>
          <w:rFonts w:hint="eastAsia" w:ascii="宋体" w:hAnsi="宋体" w:eastAsia="宋体" w:cs="宋体"/>
          <w:b w:val="0"/>
          <w:bCs w:val="0"/>
          <w:i w:val="0"/>
          <w:iCs w:val="0"/>
          <w:caps w:val="0"/>
          <w:color w:val="auto"/>
          <w:spacing w:val="0"/>
          <w:sz w:val="21"/>
          <w:szCs w:val="21"/>
          <w:highlight w:val="none"/>
          <w:shd w:val="clear" w:color="auto" w:fill="FFFFFF"/>
          <w:lang w:eastAsia="zh-CN"/>
        </w:rPr>
        <w:t>30元/台/月（不含增值税）为控制价。</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报价人低于该价格的报价为无效报价。报价人可依据市场行情和自身情况，自行报价。</w:t>
      </w:r>
      <w:r>
        <w:rPr>
          <w:rStyle w:val="4"/>
          <w:rFonts w:hint="eastAsia" w:ascii="宋体" w:hAnsi="宋体" w:eastAsia="宋体" w:cs="宋体"/>
          <w:b w:val="0"/>
          <w:bCs w:val="0"/>
          <w:i w:val="0"/>
          <w:iCs w:val="0"/>
          <w:caps w:val="0"/>
          <w:color w:val="auto"/>
          <w:spacing w:val="0"/>
          <w:sz w:val="21"/>
          <w:szCs w:val="21"/>
          <w:highlight w:val="none"/>
          <w:shd w:val="clear" w:color="auto" w:fill="FFFFFF"/>
          <w:lang w:eastAsia="zh-CN"/>
        </w:rPr>
        <w:t>本项目所发生的一切费用（如</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人员工资、社保、货物或工具</w:t>
      </w:r>
      <w:r>
        <w:rPr>
          <w:rStyle w:val="4"/>
          <w:rFonts w:hint="eastAsia" w:ascii="宋体" w:hAnsi="宋体" w:eastAsia="宋体" w:cs="宋体"/>
          <w:b w:val="0"/>
          <w:bCs w:val="0"/>
          <w:i w:val="0"/>
          <w:iCs w:val="0"/>
          <w:caps w:val="0"/>
          <w:color w:val="auto"/>
          <w:spacing w:val="0"/>
          <w:sz w:val="21"/>
          <w:szCs w:val="21"/>
          <w:highlight w:val="none"/>
          <w:shd w:val="clear" w:color="auto" w:fill="FFFFFF"/>
          <w:lang w:eastAsia="zh-CN"/>
        </w:rPr>
        <w:t>运输、安装、调试、检验、质保、培训、与医院系统的接口费（</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如有</w:t>
      </w:r>
      <w:r>
        <w:rPr>
          <w:rStyle w:val="4"/>
          <w:rFonts w:hint="eastAsia" w:ascii="宋体" w:hAnsi="宋体" w:eastAsia="宋体" w:cs="宋体"/>
          <w:b w:val="0"/>
          <w:bCs w:val="0"/>
          <w:i w:val="0"/>
          <w:iCs w:val="0"/>
          <w:caps w:val="0"/>
          <w:color w:val="auto"/>
          <w:spacing w:val="0"/>
          <w:sz w:val="21"/>
          <w:szCs w:val="21"/>
          <w:highlight w:val="none"/>
          <w:shd w:val="clear" w:color="auto" w:fill="FFFFFF"/>
          <w:lang w:eastAsia="zh-CN"/>
        </w:rPr>
        <w:t>）等所有其他有关各项的含税费用）均包含在报价中。如有遗漏，自行补充，一旦成交视为</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报价人</w:t>
      </w:r>
      <w:r>
        <w:rPr>
          <w:rStyle w:val="4"/>
          <w:rFonts w:hint="eastAsia" w:ascii="宋体" w:hAnsi="宋体" w:eastAsia="宋体" w:cs="宋体"/>
          <w:b w:val="0"/>
          <w:bCs w:val="0"/>
          <w:i w:val="0"/>
          <w:iCs w:val="0"/>
          <w:caps w:val="0"/>
          <w:color w:val="auto"/>
          <w:spacing w:val="0"/>
          <w:sz w:val="21"/>
          <w:szCs w:val="21"/>
          <w:highlight w:val="none"/>
          <w:shd w:val="clear" w:color="auto" w:fill="FFFFFF"/>
          <w:lang w:eastAsia="zh-CN"/>
        </w:rPr>
        <w:t>认同遗漏部分并免费提供。</w:t>
      </w:r>
      <w:r>
        <w:rPr>
          <w:rStyle w:val="4"/>
          <w:rFonts w:hint="eastAsia" w:ascii="宋体" w:hAnsi="宋体" w:cs="宋体"/>
          <w:b w:val="0"/>
          <w:bCs w:val="0"/>
          <w:i w:val="0"/>
          <w:iCs w:val="0"/>
          <w:caps w:val="0"/>
          <w:color w:val="auto"/>
          <w:spacing w:val="0"/>
          <w:sz w:val="21"/>
          <w:szCs w:val="21"/>
          <w:highlight w:val="none"/>
          <w:shd w:val="clear" w:color="auto" w:fill="FFFFFF"/>
          <w:lang w:val="en-US" w:eastAsia="zh-CN"/>
        </w:rPr>
        <w:t>中标人须按照合同约定时间准时交纳管理费。</w:t>
      </w:r>
    </w:p>
    <w:p w14:paraId="77A24142">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3</w:t>
      </w:r>
      <w:r>
        <w:rPr>
          <w:rFonts w:hint="eastAsia" w:ascii="宋体" w:hAnsi="宋体" w:eastAsia="宋体" w:cs="宋体"/>
          <w:sz w:val="21"/>
          <w:szCs w:val="21"/>
        </w:rPr>
        <w:t>.需提供后台管理系统，支持数据查询、统计分析，</w:t>
      </w:r>
      <w:r>
        <w:rPr>
          <w:rFonts w:hint="eastAsia" w:ascii="宋体" w:hAnsi="宋体" w:eastAsia="宋体" w:cs="宋体"/>
          <w:sz w:val="21"/>
          <w:szCs w:val="21"/>
          <w:highlight w:val="none"/>
        </w:rPr>
        <w:t>并能</w:t>
      </w:r>
      <w:r>
        <w:rPr>
          <w:rFonts w:hint="eastAsia" w:ascii="宋体" w:hAnsi="宋体" w:cs="宋体"/>
          <w:sz w:val="21"/>
          <w:szCs w:val="21"/>
          <w:highlight w:val="none"/>
          <w:lang w:val="en-US" w:eastAsia="zh-CN"/>
        </w:rPr>
        <w:t>提供报表给院方作为存档备查</w:t>
      </w:r>
      <w:r>
        <w:rPr>
          <w:rFonts w:hint="eastAsia" w:ascii="宋体" w:hAnsi="宋体" w:eastAsia="宋体" w:cs="宋体"/>
          <w:sz w:val="21"/>
          <w:szCs w:val="21"/>
          <w:highlight w:val="none"/>
        </w:rPr>
        <w:t>。</w:t>
      </w:r>
    </w:p>
    <w:p w14:paraId="42BB04A1">
      <w:pPr>
        <w:spacing w:line="360" w:lineRule="auto"/>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1</w:t>
      </w:r>
      <w:r>
        <w:rPr>
          <w:rStyle w:val="4"/>
          <w:rFonts w:hint="eastAsia" w:ascii="宋体" w:hAnsi="宋体" w:cs="宋体"/>
          <w:b w:val="0"/>
          <w:bCs w:val="0"/>
          <w:i w:val="0"/>
          <w:iCs w:val="0"/>
          <w:caps w:val="0"/>
          <w:color w:val="auto"/>
          <w:spacing w:val="0"/>
          <w:sz w:val="21"/>
          <w:szCs w:val="21"/>
          <w:highlight w:val="none"/>
          <w:shd w:val="clear" w:color="auto" w:fill="FFFFFF"/>
          <w:lang w:val="en-US" w:eastAsia="zh-CN"/>
        </w:rPr>
        <w:t>4</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若中标方在合同履行过程中所提供的产品（包括但不限于产品的品牌、型号、规格、技术参数、生产厂家、质量等级、认证标识等核心要素）与投标阶段提交的投标文件、技术响应材料及相关承诺存在实质性差异或不一致，甲方有权依据招标文件取消该中标方的中标资格，且无需承担任何违约责任。</w:t>
      </w:r>
      <w:r>
        <w:rPr>
          <w:rStyle w:val="4"/>
          <w:rFonts w:hint="eastAsia" w:ascii="宋体" w:hAnsi="宋体" w:cs="宋体"/>
          <w:b w:val="0"/>
          <w:bCs w:val="0"/>
          <w:i w:val="0"/>
          <w:iCs w:val="0"/>
          <w:caps w:val="0"/>
          <w:color w:val="auto"/>
          <w:spacing w:val="0"/>
          <w:sz w:val="21"/>
          <w:szCs w:val="21"/>
          <w:highlight w:val="none"/>
          <w:shd w:val="clear" w:color="auto" w:fill="FFFFFF"/>
          <w:lang w:val="en-US" w:eastAsia="zh-CN"/>
        </w:rPr>
        <w:t>若中标方未准时按照合同要求支付管理费，甲方有权终止与中标方合同，并由甲方处置轮椅设备。</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同时，甲方将启动候选供应商顺位机制，顺延由投标阶段经评审确定的下一位合格候选人为新的中标人，并与该候选中标人按照原招标文件规定的条款及中标条件签订合同。</w:t>
      </w:r>
    </w:p>
    <w:p w14:paraId="61F45A53">
      <w:p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附件3：样品参数</w:t>
      </w:r>
    </w:p>
    <w:p w14:paraId="1CBB4B27">
      <w:pPr>
        <w:numPr>
          <w:ilvl w:val="0"/>
          <w:numId w:val="0"/>
        </w:numPr>
        <w:spacing w:line="360" w:lineRule="auto"/>
        <w:jc w:val="left"/>
        <w:rPr>
          <w:rStyle w:val="4"/>
          <w:rFonts w:hint="eastAsia" w:ascii="宋体" w:hAnsi="宋体" w:eastAsia="宋体" w:cs="宋体"/>
          <w:b w:val="0"/>
          <w:bCs w:val="0"/>
          <w:i w:val="0"/>
          <w:iCs w:val="0"/>
          <w:caps w:val="0"/>
          <w:color w:val="auto"/>
          <w:spacing w:val="0"/>
          <w:sz w:val="21"/>
          <w:szCs w:val="21"/>
          <w:highlight w:val="none"/>
          <w:shd w:val="clear" w:color="auto" w:fill="FFFFFF"/>
        </w:rPr>
      </w:pP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产品参数要求：</w:t>
      </w:r>
    </w:p>
    <w:p w14:paraId="4E402587">
      <w:pPr>
        <w:numPr>
          <w:ilvl w:val="0"/>
          <w:numId w:val="0"/>
        </w:numPr>
        <w:spacing w:line="360" w:lineRule="auto"/>
        <w:jc w:val="left"/>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（1）符合GB/T 13800-2021《手动轮椅车》标准。</w:t>
      </w:r>
    </w:p>
    <w:p w14:paraId="394CAAC8">
      <w:pPr>
        <w:numPr>
          <w:ilvl w:val="0"/>
          <w:numId w:val="0"/>
        </w:numPr>
        <w:spacing w:line="360" w:lineRule="auto"/>
        <w:jc w:val="left"/>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iCs w:val="0"/>
          <w:caps w:val="0"/>
          <w:color w:val="auto"/>
          <w:spacing w:val="0"/>
          <w:kern w:val="2"/>
          <w:sz w:val="21"/>
          <w:szCs w:val="21"/>
          <w:highlight w:val="none"/>
          <w:shd w:val="clear" w:color="auto" w:fill="FFFFFF"/>
          <w:lang w:val="en-US" w:eastAsia="zh-CN" w:bidi="ar-SA"/>
        </w:rPr>
        <w:t>（2）</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零部件外表面：所有手能触及的外表面均应平整光滑，不应有锋棱、毛刺、尖角等，各管孔端部均应加有封头。</w:t>
      </w:r>
    </w:p>
    <w:p w14:paraId="34EBD200">
      <w:pPr>
        <w:numPr>
          <w:ilvl w:val="0"/>
          <w:numId w:val="0"/>
        </w:numPr>
        <w:spacing w:line="360" w:lineRule="auto"/>
        <w:jc w:val="left"/>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val="0"/>
          <w:i w:val="0"/>
          <w:iCs w:val="0"/>
          <w:caps w:val="0"/>
          <w:color w:val="auto"/>
          <w:spacing w:val="0"/>
          <w:kern w:val="2"/>
          <w:sz w:val="21"/>
          <w:szCs w:val="21"/>
          <w:highlight w:val="none"/>
          <w:shd w:val="clear" w:color="auto" w:fill="FFFFFF"/>
          <w:lang w:val="en-US" w:eastAsia="zh-CN" w:bidi="ar-SA"/>
        </w:rPr>
        <w:t>（3）</w:t>
      </w: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外形尺寸：总长L≤1200mm；总宽B≤700mm；总宽H≤1400mm。</w:t>
      </w:r>
    </w:p>
    <w:p w14:paraId="7551D6E5">
      <w:pPr>
        <w:spacing w:line="360" w:lineRule="auto"/>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以上参数均需提供由国家认可的第三方检测机构出具的带“CMA”标志且合格有效的检测报告复印件。</w:t>
      </w:r>
    </w:p>
    <w:p w14:paraId="02CEB6D0">
      <w:pPr>
        <w:numPr>
          <w:ilvl w:val="0"/>
          <w:numId w:val="0"/>
        </w:numPr>
        <w:spacing w:line="360" w:lineRule="auto"/>
        <w:jc w:val="left"/>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pPr>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其他要求：</w:t>
      </w:r>
    </w:p>
    <w:p w14:paraId="7317CBFF">
      <w:pPr>
        <w:numPr>
          <w:ilvl w:val="0"/>
          <w:numId w:val="0"/>
        </w:numPr>
        <w:spacing w:line="360" w:lineRule="auto"/>
        <w:ind w:left="0" w:firstLine="0"/>
        <w:jc w:val="left"/>
        <w:rPr>
          <w:rStyle w:val="4"/>
          <w:rFonts w:hint="eastAsia" w:ascii="宋体" w:hAnsi="宋体" w:eastAsia="宋体" w:cs="宋体"/>
          <w:b w:val="0"/>
          <w:bCs w:val="0"/>
          <w:i w:val="0"/>
          <w:iCs w:val="0"/>
          <w:caps w:val="0"/>
          <w:color w:val="auto"/>
          <w:spacing w:val="0"/>
          <w:sz w:val="21"/>
          <w:szCs w:val="21"/>
          <w:highlight w:val="yellow"/>
          <w:shd w:val="clear" w:color="auto" w:fill="FFFFFF"/>
          <w:lang w:val="en-US" w:eastAsia="zh-CN"/>
        </w:rPr>
      </w:pPr>
      <w:bookmarkStart w:id="0" w:name="OLE_LINK9"/>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电源管理：无需外接电源</w:t>
      </w:r>
      <w:bookmarkEnd w:id="0"/>
      <w:r>
        <w:rPr>
          <w:rStyle w:val="4"/>
          <w:rFonts w:hint="eastAsia" w:ascii="宋体" w:hAnsi="宋体" w:eastAsia="宋体" w:cs="宋体"/>
          <w:b w:val="0"/>
          <w:bCs w:val="0"/>
          <w:i w:val="0"/>
          <w:iCs w:val="0"/>
          <w:caps w:val="0"/>
          <w:color w:val="auto"/>
          <w:spacing w:val="0"/>
          <w:sz w:val="21"/>
          <w:szCs w:val="21"/>
          <w:highlight w:val="none"/>
          <w:shd w:val="clear" w:color="auto" w:fill="FFFFFF"/>
          <w:lang w:val="en-US" w:eastAsia="zh-CN"/>
        </w:rPr>
        <w:t>；归位桩摆放：无需破土动工固定，根据医院就诊需求，1个或N个自由组合投放，并可随时调整。</w:t>
      </w:r>
    </w:p>
    <w:p w14:paraId="0E2154D7">
      <w:pPr>
        <w:spacing w:line="360" w:lineRule="auto"/>
        <w:rPr>
          <w:rFonts w:hint="eastAsia" w:ascii="宋体" w:hAnsi="宋体" w:eastAsia="宋体" w:cs="宋体"/>
          <w:sz w:val="21"/>
          <w:szCs w:val="21"/>
        </w:rPr>
      </w:pPr>
      <w:r>
        <w:rPr>
          <w:rFonts w:hint="eastAsia" w:ascii="宋体" w:hAnsi="宋体" w:eastAsia="宋体" w:cs="宋体"/>
          <w:b/>
          <w:bCs/>
          <w:sz w:val="21"/>
          <w:szCs w:val="21"/>
        </w:rPr>
        <w:t>二、评分方法</w:t>
      </w:r>
    </w:p>
    <w:p w14:paraId="717349C3">
      <w:pPr>
        <w:spacing w:line="360" w:lineRule="auto"/>
        <w:rPr>
          <w:rFonts w:hint="eastAsia" w:ascii="宋体" w:hAnsi="宋体" w:eastAsia="宋体" w:cs="宋体"/>
          <w:sz w:val="21"/>
          <w:szCs w:val="21"/>
        </w:rPr>
      </w:pPr>
      <w:r>
        <w:rPr>
          <w:rFonts w:hint="eastAsia" w:ascii="宋体" w:hAnsi="宋体" w:eastAsia="宋体" w:cs="宋体"/>
          <w:sz w:val="21"/>
          <w:szCs w:val="21"/>
        </w:rPr>
        <w:t>采用综合评分法，总分100分，详细评分标准见附件</w:t>
      </w:r>
      <w:r>
        <w:rPr>
          <w:rFonts w:hint="eastAsia" w:ascii="宋体" w:hAnsi="宋体" w:eastAsia="宋体" w:cs="宋体"/>
          <w:sz w:val="21"/>
          <w:szCs w:val="21"/>
          <w:lang w:val="en-US" w:eastAsia="zh-CN"/>
        </w:rPr>
        <w:t>4</w:t>
      </w:r>
      <w:r>
        <w:rPr>
          <w:rFonts w:hint="eastAsia" w:ascii="宋体" w:hAnsi="宋体" w:eastAsia="宋体" w:cs="宋体"/>
          <w:sz w:val="21"/>
          <w:szCs w:val="21"/>
        </w:rPr>
        <w:t>。</w:t>
      </w:r>
      <w:bookmarkStart w:id="1" w:name="_GoBack"/>
      <w:bookmarkEnd w:id="1"/>
    </w:p>
    <w:p w14:paraId="6D8B052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：综合评分表（满分100分）</w:t>
      </w:r>
    </w:p>
    <w:tbl>
      <w:tblPr>
        <w:tblStyle w:val="2"/>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16"/>
        <w:gridCol w:w="804"/>
        <w:gridCol w:w="6317"/>
      </w:tblGrid>
      <w:tr w14:paraId="2157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6A55724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116" w:type="dxa"/>
            <w:tcBorders>
              <w:top w:val="single" w:color="auto" w:sz="4" w:space="0"/>
              <w:left w:val="single" w:color="auto" w:sz="4" w:space="0"/>
              <w:bottom w:val="single" w:color="auto" w:sz="4" w:space="0"/>
              <w:right w:val="single" w:color="auto" w:sz="4" w:space="0"/>
            </w:tcBorders>
            <w:vAlign w:val="center"/>
          </w:tcPr>
          <w:p w14:paraId="0ACE8EC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评标项目</w:t>
            </w:r>
          </w:p>
        </w:tc>
        <w:tc>
          <w:tcPr>
            <w:tcW w:w="804" w:type="dxa"/>
            <w:tcBorders>
              <w:top w:val="single" w:color="auto" w:sz="4" w:space="0"/>
              <w:left w:val="single" w:color="auto" w:sz="4" w:space="0"/>
              <w:bottom w:val="single" w:color="auto" w:sz="4" w:space="0"/>
              <w:right w:val="single" w:color="auto" w:sz="4" w:space="0"/>
            </w:tcBorders>
            <w:vAlign w:val="center"/>
          </w:tcPr>
          <w:p w14:paraId="49B9042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评标分值</w:t>
            </w:r>
          </w:p>
        </w:tc>
        <w:tc>
          <w:tcPr>
            <w:tcW w:w="6317" w:type="dxa"/>
            <w:tcBorders>
              <w:top w:val="single" w:color="auto" w:sz="4" w:space="0"/>
              <w:left w:val="single" w:color="auto" w:sz="4" w:space="0"/>
              <w:bottom w:val="single" w:color="auto" w:sz="4" w:space="0"/>
              <w:right w:val="single" w:color="auto" w:sz="4" w:space="0"/>
            </w:tcBorders>
            <w:vAlign w:val="center"/>
          </w:tcPr>
          <w:p w14:paraId="587356F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评标方法</w:t>
            </w:r>
          </w:p>
        </w:tc>
      </w:tr>
      <w:tr w14:paraId="36C3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903" w:type="dxa"/>
            <w:gridSpan w:val="4"/>
            <w:tcBorders>
              <w:top w:val="single" w:color="auto" w:sz="4" w:space="0"/>
              <w:left w:val="single" w:color="auto" w:sz="4" w:space="0"/>
              <w:bottom w:val="single" w:color="auto" w:sz="4" w:space="0"/>
              <w:right w:val="single" w:color="auto" w:sz="4" w:space="0"/>
            </w:tcBorders>
            <w:vAlign w:val="center"/>
          </w:tcPr>
          <w:p w14:paraId="36672B7A">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rPr>
              <w:t>报价部分</w:t>
            </w:r>
            <w:r>
              <w:rPr>
                <w:rFonts w:hint="eastAsia" w:ascii="宋体" w:hAnsi="宋体" w:eastAsia="宋体" w:cs="宋体"/>
                <w:color w:val="000000"/>
                <w:kern w:val="0"/>
                <w:sz w:val="21"/>
                <w:szCs w:val="21"/>
                <w:lang w:val="en-US" w:eastAsia="zh-CN"/>
              </w:rPr>
              <w:t xml:space="preserve"> 满分1</w:t>
            </w:r>
            <w:r>
              <w:rPr>
                <w:rFonts w:hint="eastAsia" w:ascii="宋体" w:hAnsi="宋体" w:cs="宋体"/>
                <w:color w:val="000000"/>
                <w:kern w:val="0"/>
                <w:sz w:val="21"/>
                <w:szCs w:val="21"/>
                <w:lang w:val="en-US" w:eastAsia="zh-CN"/>
              </w:rPr>
              <w:t>0</w:t>
            </w:r>
            <w:r>
              <w:rPr>
                <w:rFonts w:hint="eastAsia" w:ascii="宋体" w:hAnsi="宋体" w:eastAsia="宋体" w:cs="宋体"/>
                <w:color w:val="000000"/>
                <w:kern w:val="0"/>
                <w:sz w:val="21"/>
                <w:szCs w:val="21"/>
                <w:lang w:val="en-US" w:eastAsia="zh-CN"/>
              </w:rPr>
              <w:t>分</w:t>
            </w:r>
          </w:p>
        </w:tc>
      </w:tr>
      <w:tr w14:paraId="649F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39D37C2D">
            <w:pPr>
              <w:widowControl/>
              <w:spacing w:line="240" w:lineRule="auto"/>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A1</w:t>
            </w:r>
          </w:p>
        </w:tc>
        <w:tc>
          <w:tcPr>
            <w:tcW w:w="1116" w:type="dxa"/>
            <w:tcBorders>
              <w:top w:val="single" w:color="auto" w:sz="4" w:space="0"/>
              <w:left w:val="single" w:color="auto" w:sz="4" w:space="0"/>
              <w:bottom w:val="single" w:color="auto" w:sz="4" w:space="0"/>
              <w:right w:val="single" w:color="auto" w:sz="4" w:space="0"/>
            </w:tcBorders>
            <w:vAlign w:val="center"/>
          </w:tcPr>
          <w:p w14:paraId="1BB7652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报价分</w:t>
            </w:r>
          </w:p>
        </w:tc>
        <w:tc>
          <w:tcPr>
            <w:tcW w:w="804" w:type="dxa"/>
            <w:tcBorders>
              <w:top w:val="single" w:color="auto" w:sz="4" w:space="0"/>
              <w:left w:val="single" w:color="auto" w:sz="4" w:space="0"/>
              <w:bottom w:val="single" w:color="auto" w:sz="4" w:space="0"/>
              <w:right w:val="single" w:color="auto" w:sz="4" w:space="0"/>
            </w:tcBorders>
            <w:vAlign w:val="center"/>
          </w:tcPr>
          <w:p w14:paraId="5D8F170A">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0</w:t>
            </w:r>
            <w:r>
              <w:rPr>
                <w:rFonts w:hint="eastAsia" w:ascii="宋体" w:hAnsi="宋体" w:eastAsia="宋体" w:cs="宋体"/>
                <w:color w:val="000000"/>
                <w:kern w:val="0"/>
                <w:sz w:val="21"/>
                <w:szCs w:val="21"/>
                <w:lang w:val="en-US" w:eastAsia="zh-CN"/>
              </w:rPr>
              <w:t>.00</w:t>
            </w:r>
          </w:p>
        </w:tc>
        <w:tc>
          <w:tcPr>
            <w:tcW w:w="6317" w:type="dxa"/>
            <w:tcBorders>
              <w:top w:val="single" w:color="auto" w:sz="4" w:space="0"/>
              <w:left w:val="single" w:color="auto" w:sz="4" w:space="0"/>
              <w:bottom w:val="single" w:color="auto" w:sz="4" w:space="0"/>
              <w:right w:val="single" w:color="auto" w:sz="4" w:space="0"/>
            </w:tcBorders>
            <w:vAlign w:val="center"/>
          </w:tcPr>
          <w:p w14:paraId="6C085586">
            <w:pPr>
              <w:widowControl/>
              <w:spacing w:line="240" w:lineRule="auto"/>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投标报价得分＝投标报价</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评标基准价×</w:t>
            </w: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0</w:t>
            </w:r>
          </w:p>
          <w:p w14:paraId="05DA3549">
            <w:pPr>
              <w:widowControl/>
              <w:spacing w:line="240" w:lineRule="auto"/>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（注：满足招标文件要求且投标价格最</w:t>
            </w:r>
            <w:r>
              <w:rPr>
                <w:rFonts w:hint="eastAsia" w:ascii="宋体" w:hAnsi="宋体" w:eastAsia="宋体" w:cs="宋体"/>
                <w:color w:val="000000"/>
                <w:kern w:val="0"/>
                <w:sz w:val="21"/>
                <w:szCs w:val="21"/>
                <w:lang w:val="en-US" w:eastAsia="zh-CN"/>
              </w:rPr>
              <w:t>高</w:t>
            </w:r>
            <w:r>
              <w:rPr>
                <w:rFonts w:hint="eastAsia" w:ascii="宋体" w:hAnsi="宋体" w:eastAsia="宋体" w:cs="宋体"/>
                <w:color w:val="000000"/>
                <w:kern w:val="0"/>
                <w:sz w:val="21"/>
                <w:szCs w:val="21"/>
              </w:rPr>
              <w:t>的投标报价为评标基准价）最</w:t>
            </w:r>
            <w:r>
              <w:rPr>
                <w:rFonts w:hint="eastAsia" w:ascii="宋体" w:hAnsi="宋体" w:eastAsia="宋体" w:cs="宋体"/>
                <w:color w:val="000000"/>
                <w:kern w:val="0"/>
                <w:sz w:val="21"/>
                <w:szCs w:val="21"/>
                <w:lang w:val="en-US" w:eastAsia="zh-CN"/>
              </w:rPr>
              <w:t>高</w:t>
            </w:r>
            <w:r>
              <w:rPr>
                <w:rFonts w:hint="eastAsia" w:ascii="宋体" w:hAnsi="宋体" w:eastAsia="宋体" w:cs="宋体"/>
                <w:color w:val="000000"/>
                <w:kern w:val="0"/>
                <w:sz w:val="21"/>
                <w:szCs w:val="21"/>
              </w:rPr>
              <w:t>报价不是中标的唯一依据。因落实政府采购政策进行价格调整的，以调整后的价格计算评标基准价和投标报价。</w:t>
            </w:r>
          </w:p>
        </w:tc>
      </w:tr>
      <w:tr w14:paraId="1DB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903" w:type="dxa"/>
            <w:gridSpan w:val="4"/>
            <w:tcBorders>
              <w:top w:val="single" w:color="auto" w:sz="4" w:space="0"/>
              <w:left w:val="single" w:color="auto" w:sz="4" w:space="0"/>
              <w:bottom w:val="single" w:color="auto" w:sz="4" w:space="0"/>
              <w:right w:val="single" w:color="auto" w:sz="4" w:space="0"/>
            </w:tcBorders>
            <w:vAlign w:val="center"/>
          </w:tcPr>
          <w:p w14:paraId="7A7DE438">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B</w:t>
            </w:r>
            <w:r>
              <w:rPr>
                <w:rFonts w:hint="eastAsia" w:ascii="宋体" w:hAnsi="宋体" w:eastAsia="宋体" w:cs="宋体"/>
                <w:color w:val="000000"/>
                <w:kern w:val="0"/>
                <w:sz w:val="21"/>
                <w:szCs w:val="21"/>
              </w:rPr>
              <w:t>技术及服务部分</w:t>
            </w:r>
            <w:r>
              <w:rPr>
                <w:rFonts w:hint="eastAsia" w:ascii="宋体" w:hAnsi="宋体" w:eastAsia="宋体" w:cs="宋体"/>
                <w:color w:val="000000"/>
                <w:kern w:val="0"/>
                <w:sz w:val="21"/>
                <w:szCs w:val="21"/>
                <w:lang w:val="en-US" w:eastAsia="zh-CN"/>
              </w:rPr>
              <w:t xml:space="preserve"> 满分</w:t>
            </w:r>
            <w:r>
              <w:rPr>
                <w:rFonts w:hint="eastAsia" w:ascii="宋体" w:hAnsi="宋体" w:cs="宋体"/>
                <w:color w:val="000000"/>
                <w:kern w:val="0"/>
                <w:sz w:val="21"/>
                <w:szCs w:val="21"/>
                <w:lang w:val="en-US" w:eastAsia="zh-CN"/>
              </w:rPr>
              <w:t>60</w:t>
            </w:r>
            <w:r>
              <w:rPr>
                <w:rFonts w:hint="eastAsia" w:ascii="宋体" w:hAnsi="宋体" w:eastAsia="宋体" w:cs="宋体"/>
                <w:color w:val="000000"/>
                <w:kern w:val="0"/>
                <w:sz w:val="21"/>
                <w:szCs w:val="21"/>
                <w:lang w:val="en-US" w:eastAsia="zh-CN"/>
              </w:rPr>
              <w:t>分</w:t>
            </w:r>
          </w:p>
        </w:tc>
      </w:tr>
      <w:tr w14:paraId="46C9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10B2F45">
            <w:pPr>
              <w:widowControl/>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B1</w:t>
            </w:r>
          </w:p>
        </w:tc>
        <w:tc>
          <w:tcPr>
            <w:tcW w:w="1116" w:type="dxa"/>
            <w:tcBorders>
              <w:top w:val="single" w:color="auto" w:sz="4" w:space="0"/>
              <w:left w:val="single" w:color="auto" w:sz="4" w:space="0"/>
              <w:bottom w:val="single" w:color="auto" w:sz="4" w:space="0"/>
              <w:right w:val="single" w:color="auto" w:sz="4" w:space="0"/>
            </w:tcBorders>
          </w:tcPr>
          <w:p w14:paraId="60A18620">
            <w:pPr>
              <w:pStyle w:val="5"/>
              <w:spacing w:line="240" w:lineRule="auto"/>
              <w:jc w:val="center"/>
              <w:rPr>
                <w:rFonts w:hint="eastAsia" w:ascii="宋体" w:hAnsi="宋体" w:eastAsia="宋体" w:cs="宋体"/>
                <w:sz w:val="21"/>
                <w:szCs w:val="21"/>
                <w:highlight w:val="none"/>
                <w:lang w:val="en-US" w:eastAsia="zh-CN"/>
              </w:rPr>
            </w:pPr>
          </w:p>
          <w:p w14:paraId="36B1D2B3">
            <w:pPr>
              <w:pStyle w:val="5"/>
              <w:spacing w:line="240" w:lineRule="auto"/>
              <w:jc w:val="center"/>
              <w:rPr>
                <w:rFonts w:hint="eastAsia" w:ascii="宋体" w:hAnsi="宋体" w:eastAsia="宋体" w:cs="宋体"/>
                <w:sz w:val="21"/>
                <w:szCs w:val="21"/>
                <w:highlight w:val="none"/>
                <w:lang w:val="en-US" w:eastAsia="zh-CN"/>
              </w:rPr>
            </w:pPr>
          </w:p>
          <w:p w14:paraId="35A2B355">
            <w:pPr>
              <w:pStyle w:val="5"/>
              <w:spacing w:line="240" w:lineRule="auto"/>
              <w:jc w:val="center"/>
              <w:rPr>
                <w:rFonts w:hint="eastAsia" w:ascii="宋体" w:hAnsi="宋体" w:eastAsia="宋体" w:cs="宋体"/>
                <w:sz w:val="21"/>
                <w:szCs w:val="21"/>
                <w:highlight w:val="none"/>
                <w:lang w:val="en-US" w:eastAsia="zh-CN"/>
              </w:rPr>
            </w:pPr>
          </w:p>
          <w:p w14:paraId="7D312C6C">
            <w:pPr>
              <w:pStyle w:val="5"/>
              <w:spacing w:line="240" w:lineRule="auto"/>
              <w:jc w:val="both"/>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lang w:val="en-US" w:eastAsia="zh-CN"/>
              </w:rPr>
              <w:t>运营</w:t>
            </w:r>
            <w:r>
              <w:rPr>
                <w:rFonts w:hint="eastAsia" w:ascii="宋体" w:hAnsi="宋体" w:eastAsia="宋体" w:cs="宋体"/>
                <w:sz w:val="21"/>
                <w:szCs w:val="21"/>
                <w:highlight w:val="none"/>
              </w:rPr>
              <w:t>服务方案</w:t>
            </w:r>
          </w:p>
        </w:tc>
        <w:tc>
          <w:tcPr>
            <w:tcW w:w="804" w:type="dxa"/>
            <w:tcBorders>
              <w:top w:val="single" w:color="auto" w:sz="4" w:space="0"/>
              <w:left w:val="single" w:color="auto" w:sz="4" w:space="0"/>
              <w:bottom w:val="single" w:color="auto" w:sz="4" w:space="0"/>
              <w:right w:val="single" w:color="auto" w:sz="4" w:space="0"/>
            </w:tcBorders>
          </w:tcPr>
          <w:p w14:paraId="7D10B5B3">
            <w:pPr>
              <w:pStyle w:val="5"/>
              <w:spacing w:line="240" w:lineRule="auto"/>
              <w:jc w:val="center"/>
              <w:rPr>
                <w:rFonts w:hint="eastAsia" w:ascii="宋体" w:hAnsi="宋体" w:eastAsia="宋体" w:cs="宋体"/>
                <w:sz w:val="21"/>
                <w:szCs w:val="21"/>
                <w:highlight w:val="none"/>
                <w:lang w:val="en-US" w:eastAsia="zh-CN"/>
              </w:rPr>
            </w:pPr>
          </w:p>
          <w:p w14:paraId="384ED6F4">
            <w:pPr>
              <w:pStyle w:val="5"/>
              <w:spacing w:line="240" w:lineRule="auto"/>
              <w:jc w:val="center"/>
              <w:rPr>
                <w:rFonts w:hint="eastAsia" w:ascii="宋体" w:hAnsi="宋体" w:eastAsia="宋体" w:cs="宋体"/>
                <w:sz w:val="21"/>
                <w:szCs w:val="21"/>
                <w:highlight w:val="none"/>
                <w:lang w:val="en-US" w:eastAsia="zh-CN"/>
              </w:rPr>
            </w:pPr>
          </w:p>
          <w:p w14:paraId="5A39B328">
            <w:pPr>
              <w:pStyle w:val="5"/>
              <w:spacing w:line="240" w:lineRule="auto"/>
              <w:jc w:val="center"/>
              <w:rPr>
                <w:rFonts w:hint="eastAsia" w:ascii="宋体" w:hAnsi="宋体" w:eastAsia="宋体" w:cs="宋体"/>
                <w:sz w:val="21"/>
                <w:szCs w:val="21"/>
                <w:highlight w:val="none"/>
                <w:lang w:val="en-US" w:eastAsia="zh-CN"/>
              </w:rPr>
            </w:pPr>
          </w:p>
          <w:p w14:paraId="462AF46C">
            <w:pPr>
              <w:pStyle w:val="5"/>
              <w:spacing w:line="240" w:lineRule="auto"/>
              <w:jc w:val="center"/>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.00</w:t>
            </w:r>
          </w:p>
        </w:tc>
        <w:tc>
          <w:tcPr>
            <w:tcW w:w="6317" w:type="dxa"/>
            <w:tcBorders>
              <w:top w:val="single" w:color="auto" w:sz="4" w:space="0"/>
              <w:left w:val="single" w:color="auto" w:sz="4" w:space="0"/>
              <w:bottom w:val="single" w:color="auto" w:sz="4" w:space="0"/>
              <w:right w:val="single" w:color="auto" w:sz="4" w:space="0"/>
            </w:tcBorders>
          </w:tcPr>
          <w:p w14:paraId="4312EDCC">
            <w:pPr>
              <w:pStyle w:val="5"/>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根据投标人对本项目提供方案的完整性、可行性、创新性进行评</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lang w:eastAsia="zh-CN"/>
              </w:rPr>
              <w:t>，包括设备介绍、日常运维流程、消毒管理流程、应急处理预案等</w:t>
            </w:r>
            <w:r>
              <w:rPr>
                <w:rFonts w:hint="eastAsia" w:ascii="宋体" w:hAnsi="宋体" w:eastAsia="宋体" w:cs="宋体"/>
                <w:sz w:val="21"/>
                <w:szCs w:val="21"/>
                <w:highlight w:val="none"/>
              </w:rPr>
              <w:t>。优(</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分)：方案详尽、科学，流程清晰，消毒、维护、应急响应等措施全面可靠，远超用户需求。</w:t>
            </w:r>
            <w:r>
              <w:rPr>
                <w:rFonts w:hint="eastAsia" w:ascii="宋体" w:hAnsi="宋体" w:eastAsia="宋体" w:cs="宋体"/>
                <w:sz w:val="21"/>
                <w:szCs w:val="21"/>
                <w:highlight w:val="none"/>
                <w:lang w:eastAsia="zh-CN"/>
              </w:rPr>
              <w:t>良(</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eastAsia="zh-CN"/>
              </w:rPr>
              <w:t>分)：方案完整，流程合理，能满足用户基本需求。一般(</w:t>
            </w:r>
            <w:r>
              <w:rPr>
                <w:rFonts w:hint="eastAsia" w:ascii="宋体" w:hAnsi="宋体" w:cs="宋体"/>
                <w:sz w:val="21"/>
                <w:szCs w:val="21"/>
                <w:highlight w:val="none"/>
                <w:lang w:val="en-US" w:eastAsia="zh-CN"/>
              </w:rPr>
              <w:t>8.5</w:t>
            </w:r>
            <w:r>
              <w:rPr>
                <w:rFonts w:hint="eastAsia" w:ascii="宋体" w:hAnsi="宋体" w:eastAsia="宋体" w:cs="宋体"/>
                <w:sz w:val="21"/>
                <w:szCs w:val="21"/>
                <w:highlight w:val="none"/>
                <w:lang w:eastAsia="zh-CN"/>
              </w:rPr>
              <w:t>分)：方案简单，缺乏细节，可行性一般。差或未提供（</w:t>
            </w:r>
            <w:r>
              <w:rPr>
                <w:rFonts w:hint="eastAsia" w:ascii="宋体" w:hAnsi="宋体" w:eastAsia="宋体" w:cs="宋体"/>
                <w:sz w:val="21"/>
                <w:szCs w:val="21"/>
                <w:highlight w:val="none"/>
                <w:lang w:val="en-US" w:eastAsia="zh-CN"/>
              </w:rPr>
              <w:t>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未提供方案或方案内容有明显错误与项目情况不相符的不得分。</w:t>
            </w:r>
          </w:p>
        </w:tc>
      </w:tr>
      <w:tr w14:paraId="048B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ABD2967">
            <w:pPr>
              <w:widowControl/>
              <w:spacing w:line="24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B2</w:t>
            </w:r>
          </w:p>
        </w:tc>
        <w:tc>
          <w:tcPr>
            <w:tcW w:w="1116" w:type="dxa"/>
            <w:tcBorders>
              <w:top w:val="single" w:color="auto" w:sz="4" w:space="0"/>
              <w:left w:val="single" w:color="auto" w:sz="4" w:space="0"/>
              <w:bottom w:val="single" w:color="auto" w:sz="4" w:space="0"/>
              <w:right w:val="single" w:color="auto" w:sz="4" w:space="0"/>
            </w:tcBorders>
            <w:shd w:val="clear" w:color="auto" w:fill="auto"/>
          </w:tcPr>
          <w:p w14:paraId="1130BD33">
            <w:pPr>
              <w:pStyle w:val="5"/>
              <w:spacing w:line="240" w:lineRule="auto"/>
              <w:jc w:val="center"/>
              <w:rPr>
                <w:rFonts w:hint="eastAsia" w:ascii="宋体" w:hAnsi="宋体" w:eastAsia="宋体" w:cs="宋体"/>
                <w:color w:val="000000"/>
                <w:kern w:val="0"/>
                <w:sz w:val="21"/>
                <w:szCs w:val="21"/>
                <w:highlight w:val="none"/>
              </w:rPr>
            </w:pPr>
          </w:p>
          <w:p w14:paraId="6ADC1EC1">
            <w:pPr>
              <w:pStyle w:val="5"/>
              <w:spacing w:line="240" w:lineRule="auto"/>
              <w:jc w:val="center"/>
              <w:rPr>
                <w:rFonts w:hint="eastAsia" w:ascii="宋体" w:hAnsi="宋体" w:eastAsia="宋体" w:cs="宋体"/>
                <w:color w:val="000000"/>
                <w:kern w:val="0"/>
                <w:sz w:val="21"/>
                <w:szCs w:val="21"/>
                <w:highlight w:val="none"/>
              </w:rPr>
            </w:pPr>
          </w:p>
          <w:p w14:paraId="01AE7BA6">
            <w:pPr>
              <w:pStyle w:val="5"/>
              <w:spacing w:line="240" w:lineRule="auto"/>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驻场人员管理方案</w:t>
            </w: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78BAB16C">
            <w:pPr>
              <w:pStyle w:val="5"/>
              <w:spacing w:line="240" w:lineRule="auto"/>
              <w:jc w:val="center"/>
              <w:rPr>
                <w:rFonts w:hint="eastAsia" w:ascii="宋体" w:hAnsi="宋体" w:eastAsia="宋体" w:cs="宋体"/>
                <w:sz w:val="21"/>
                <w:szCs w:val="21"/>
                <w:highlight w:val="none"/>
                <w:lang w:val="en-US" w:eastAsia="zh-CN"/>
              </w:rPr>
            </w:pPr>
          </w:p>
          <w:p w14:paraId="1E3B1FAE">
            <w:pPr>
              <w:pStyle w:val="5"/>
              <w:spacing w:line="240" w:lineRule="auto"/>
              <w:jc w:val="center"/>
              <w:rPr>
                <w:rFonts w:hint="eastAsia" w:ascii="宋体" w:hAnsi="宋体" w:eastAsia="宋体" w:cs="宋体"/>
                <w:sz w:val="21"/>
                <w:szCs w:val="21"/>
                <w:highlight w:val="none"/>
                <w:lang w:val="en-US" w:eastAsia="zh-CN"/>
              </w:rPr>
            </w:pPr>
          </w:p>
          <w:p w14:paraId="7BADCA00">
            <w:pPr>
              <w:pStyle w:val="5"/>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.00</w:t>
            </w:r>
          </w:p>
        </w:tc>
        <w:tc>
          <w:tcPr>
            <w:tcW w:w="6317" w:type="dxa"/>
            <w:tcBorders>
              <w:top w:val="single" w:color="auto" w:sz="4" w:space="0"/>
              <w:left w:val="single" w:color="auto" w:sz="4" w:space="0"/>
              <w:bottom w:val="single" w:color="auto" w:sz="4" w:space="0"/>
              <w:right w:val="single" w:color="auto" w:sz="4" w:space="0"/>
            </w:tcBorders>
            <w:shd w:val="clear" w:color="auto" w:fill="auto"/>
          </w:tcPr>
          <w:p w14:paraId="40217DFC">
            <w:pPr>
              <w:pStyle w:val="5"/>
              <w:spacing w:line="240" w:lineRule="auto"/>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根据人员配置合理性、岗位职责明确性、培训计划完善性进行评分。优(</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分)：驻场人员职责明确、排班科学（覆盖高峰时段）、管理考核机制完善，能极大提升服务质量。</w:t>
            </w:r>
            <w:r>
              <w:rPr>
                <w:rFonts w:hint="eastAsia" w:ascii="宋体" w:hAnsi="宋体" w:eastAsia="宋体" w:cs="宋体"/>
                <w:sz w:val="21"/>
                <w:szCs w:val="21"/>
                <w:highlight w:val="none"/>
                <w:lang w:eastAsia="zh-CN"/>
              </w:rPr>
              <w:t>良(</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eastAsia="zh-CN"/>
              </w:rPr>
              <w:t>分)：</w:t>
            </w:r>
            <w:r>
              <w:rPr>
                <w:rFonts w:hint="eastAsia" w:ascii="宋体" w:hAnsi="宋体" w:eastAsia="宋体" w:cs="宋体"/>
                <w:sz w:val="21"/>
                <w:szCs w:val="21"/>
                <w:highlight w:val="none"/>
              </w:rPr>
              <w:t>有详细的驻场方案，人员职责和排班基本合理。</w:t>
            </w:r>
            <w:r>
              <w:rPr>
                <w:rFonts w:hint="eastAsia" w:ascii="宋体" w:hAnsi="宋体" w:eastAsia="宋体" w:cs="宋体"/>
                <w:sz w:val="21"/>
                <w:szCs w:val="21"/>
                <w:highlight w:val="none"/>
                <w:lang w:eastAsia="zh-CN"/>
              </w:rPr>
              <w:t>一般(</w:t>
            </w:r>
            <w:r>
              <w:rPr>
                <w:rFonts w:hint="eastAsia" w:ascii="宋体" w:hAnsi="宋体" w:cs="宋体"/>
                <w:sz w:val="21"/>
                <w:szCs w:val="21"/>
                <w:highlight w:val="none"/>
                <w:lang w:val="en-US" w:eastAsia="zh-CN"/>
              </w:rPr>
              <w:t>8.5</w:t>
            </w:r>
            <w:r>
              <w:rPr>
                <w:rFonts w:hint="eastAsia" w:ascii="宋体" w:hAnsi="宋体" w:eastAsia="宋体" w:cs="宋体"/>
                <w:sz w:val="21"/>
                <w:szCs w:val="21"/>
                <w:highlight w:val="none"/>
                <w:lang w:eastAsia="zh-CN"/>
              </w:rPr>
              <w:t>分)：</w:t>
            </w:r>
            <w:r>
              <w:rPr>
                <w:rFonts w:hint="eastAsia" w:ascii="宋体" w:hAnsi="宋体" w:eastAsia="宋体" w:cs="宋体"/>
                <w:sz w:val="21"/>
                <w:szCs w:val="21"/>
                <w:highlight w:val="none"/>
              </w:rPr>
              <w:t>方案简单，仅承诺派人，无具体管理细节。</w:t>
            </w:r>
            <w:r>
              <w:rPr>
                <w:rFonts w:hint="eastAsia" w:ascii="宋体" w:hAnsi="宋体" w:eastAsia="宋体" w:cs="宋体"/>
                <w:sz w:val="21"/>
                <w:szCs w:val="21"/>
                <w:highlight w:val="none"/>
                <w:lang w:eastAsia="zh-CN"/>
              </w:rPr>
              <w:t>差或未提供（</w:t>
            </w:r>
            <w:r>
              <w:rPr>
                <w:rFonts w:hint="eastAsia" w:ascii="宋体" w:hAnsi="宋体" w:eastAsia="宋体" w:cs="宋体"/>
                <w:sz w:val="21"/>
                <w:szCs w:val="21"/>
                <w:highlight w:val="none"/>
                <w:lang w:val="en-US" w:eastAsia="zh-CN"/>
              </w:rPr>
              <w:t>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未提供方案或方案内容有明显错误与项目情况不相符的不得分。</w:t>
            </w:r>
          </w:p>
        </w:tc>
      </w:tr>
      <w:tr w14:paraId="208B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F58A75B">
            <w:pPr>
              <w:widowControl/>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B3</w:t>
            </w:r>
          </w:p>
        </w:tc>
        <w:tc>
          <w:tcPr>
            <w:tcW w:w="1116" w:type="dxa"/>
            <w:tcBorders>
              <w:top w:val="single" w:color="auto" w:sz="4" w:space="0"/>
              <w:left w:val="single" w:color="auto" w:sz="4" w:space="0"/>
              <w:bottom w:val="single" w:color="auto" w:sz="4" w:space="0"/>
              <w:right w:val="single" w:color="auto" w:sz="4" w:space="0"/>
            </w:tcBorders>
            <w:shd w:val="clear" w:color="auto" w:fill="auto"/>
          </w:tcPr>
          <w:p w14:paraId="5779AE4B">
            <w:pPr>
              <w:pStyle w:val="5"/>
              <w:spacing w:line="240" w:lineRule="auto"/>
              <w:jc w:val="center"/>
              <w:rPr>
                <w:rFonts w:hint="eastAsia" w:ascii="宋体" w:hAnsi="宋体" w:eastAsia="宋体" w:cs="宋体"/>
                <w:color w:val="000000"/>
                <w:kern w:val="0"/>
                <w:sz w:val="21"/>
                <w:szCs w:val="21"/>
                <w:highlight w:val="none"/>
                <w:lang w:val="en-US" w:eastAsia="zh-CN"/>
              </w:rPr>
            </w:pPr>
          </w:p>
          <w:p w14:paraId="3DC77ADB">
            <w:pPr>
              <w:pStyle w:val="5"/>
              <w:spacing w:line="240" w:lineRule="auto"/>
              <w:jc w:val="center"/>
              <w:rPr>
                <w:rFonts w:hint="eastAsia" w:ascii="宋体" w:hAnsi="宋体" w:eastAsia="宋体" w:cs="宋体"/>
                <w:color w:val="000000"/>
                <w:kern w:val="0"/>
                <w:sz w:val="21"/>
                <w:szCs w:val="21"/>
                <w:highlight w:val="none"/>
                <w:lang w:val="en-US" w:eastAsia="zh-CN"/>
              </w:rPr>
            </w:pPr>
          </w:p>
          <w:p w14:paraId="4448B7B8">
            <w:pPr>
              <w:pStyle w:val="5"/>
              <w:spacing w:line="240" w:lineRule="auto"/>
              <w:jc w:val="center"/>
              <w:rPr>
                <w:rFonts w:hint="eastAsia" w:ascii="宋体" w:hAnsi="宋体" w:eastAsia="宋体" w:cs="宋体"/>
                <w:color w:val="000000"/>
                <w:kern w:val="0"/>
                <w:sz w:val="21"/>
                <w:szCs w:val="21"/>
                <w:highlight w:val="none"/>
                <w:lang w:val="en-US" w:eastAsia="zh-CN"/>
              </w:rPr>
            </w:pPr>
          </w:p>
          <w:p w14:paraId="56F7DF5F">
            <w:pPr>
              <w:pStyle w:val="5"/>
              <w:spacing w:line="240" w:lineRule="auto"/>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本地化服务能力</w:t>
            </w: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5C3A2F6A">
            <w:pPr>
              <w:pStyle w:val="5"/>
              <w:spacing w:line="240" w:lineRule="auto"/>
              <w:jc w:val="center"/>
              <w:rPr>
                <w:rFonts w:hint="eastAsia" w:ascii="宋体" w:hAnsi="宋体" w:eastAsia="宋体" w:cs="宋体"/>
                <w:sz w:val="21"/>
                <w:szCs w:val="21"/>
                <w:highlight w:val="none"/>
                <w:lang w:val="en-US" w:eastAsia="zh-CN"/>
              </w:rPr>
            </w:pPr>
          </w:p>
          <w:p w14:paraId="2B71FCC1">
            <w:pPr>
              <w:pStyle w:val="5"/>
              <w:spacing w:line="240" w:lineRule="auto"/>
              <w:jc w:val="center"/>
              <w:rPr>
                <w:rFonts w:hint="eastAsia" w:ascii="宋体" w:hAnsi="宋体" w:eastAsia="宋体" w:cs="宋体"/>
                <w:sz w:val="21"/>
                <w:szCs w:val="21"/>
                <w:highlight w:val="none"/>
                <w:lang w:val="en-US" w:eastAsia="zh-CN"/>
              </w:rPr>
            </w:pPr>
          </w:p>
          <w:p w14:paraId="76747901">
            <w:pPr>
              <w:pStyle w:val="5"/>
              <w:spacing w:line="240" w:lineRule="auto"/>
              <w:jc w:val="center"/>
              <w:rPr>
                <w:rFonts w:hint="eastAsia" w:ascii="宋体" w:hAnsi="宋体" w:eastAsia="宋体" w:cs="宋体"/>
                <w:sz w:val="21"/>
                <w:szCs w:val="21"/>
                <w:highlight w:val="none"/>
                <w:lang w:val="en-US" w:eastAsia="zh-CN"/>
              </w:rPr>
            </w:pPr>
          </w:p>
          <w:p w14:paraId="0679A482">
            <w:pPr>
              <w:pStyle w:val="5"/>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.00</w:t>
            </w:r>
          </w:p>
        </w:tc>
        <w:tc>
          <w:tcPr>
            <w:tcW w:w="6317" w:type="dxa"/>
            <w:tcBorders>
              <w:top w:val="single" w:color="auto" w:sz="4" w:space="0"/>
              <w:left w:val="single" w:color="auto" w:sz="4" w:space="0"/>
              <w:bottom w:val="single" w:color="auto" w:sz="4" w:space="0"/>
              <w:right w:val="single" w:color="auto" w:sz="4" w:space="0"/>
            </w:tcBorders>
            <w:shd w:val="clear" w:color="auto" w:fill="auto"/>
          </w:tcPr>
          <w:p w14:paraId="59F18058">
            <w:pPr>
              <w:pStyle w:val="5"/>
              <w:spacing w:line="240" w:lineRule="auto"/>
              <w:jc w:val="both"/>
              <w:rPr>
                <w:rFonts w:hint="eastAsia" w:ascii="宋体" w:hAnsi="宋体" w:eastAsia="宋体" w:cs="宋体"/>
                <w:color w:val="000000"/>
                <w:kern w:val="0"/>
                <w:sz w:val="21"/>
                <w:szCs w:val="21"/>
                <w:highlight w:val="none"/>
                <w:lang w:val="en-US" w:eastAsia="zh-CN"/>
              </w:rPr>
            </w:pPr>
            <w:r>
              <w:rPr>
                <w:rFonts w:hint="eastAsia" w:ascii="宋体" w:hAnsi="宋体" w:eastAsia="宋体" w:cs="宋体"/>
                <w:sz w:val="21"/>
                <w:szCs w:val="21"/>
                <w:highlight w:val="none"/>
                <w:lang w:val="en-US" w:eastAsia="zh-CN"/>
              </w:rPr>
              <w:t>投标人在福鼎市或周边县市设有常驻服务网点或团队（需提供证明）进行评分。优(10分)：在福鼎市或周边县市设有常驻服务网点或团队，能快速响应，在1小时内到达设备现场进行故障排除；良(5分)：在福建省内其他地市有网点货团队，能在2小时内到达设备现场进行故障排除；一般(2分)：省外网点或团队，在3小时内到达设备现场进行故障排除。</w:t>
            </w:r>
            <w:r>
              <w:rPr>
                <w:rFonts w:hint="eastAsia" w:ascii="宋体" w:hAnsi="宋体" w:eastAsia="宋体" w:cs="宋体"/>
                <w:sz w:val="21"/>
                <w:szCs w:val="21"/>
                <w:highlight w:val="none"/>
                <w:lang w:eastAsia="zh-CN"/>
              </w:rPr>
              <w:t>差或未提供（</w:t>
            </w:r>
            <w:r>
              <w:rPr>
                <w:rFonts w:hint="eastAsia" w:ascii="宋体" w:hAnsi="宋体" w:eastAsia="宋体" w:cs="宋体"/>
                <w:sz w:val="21"/>
                <w:szCs w:val="21"/>
                <w:highlight w:val="none"/>
                <w:lang w:val="en-US" w:eastAsia="zh-CN"/>
              </w:rPr>
              <w:t>0分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未提供方案或方案内容有明显错误与项目情况不相符的不得分。</w:t>
            </w:r>
          </w:p>
        </w:tc>
      </w:tr>
      <w:tr w14:paraId="0BB3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F895F28">
            <w:pPr>
              <w:widowControl/>
              <w:spacing w:line="240" w:lineRule="auto"/>
              <w:jc w:val="center"/>
              <w:rPr>
                <w:rFonts w:hint="eastAsia" w:ascii="宋体" w:hAnsi="宋体" w:eastAsia="宋体" w:cs="宋体"/>
                <w:color w:val="000000"/>
                <w:kern w:val="0"/>
                <w:sz w:val="21"/>
                <w:szCs w:val="21"/>
                <w:highlight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auto"/>
          </w:tcPr>
          <w:p w14:paraId="33E56868">
            <w:pPr>
              <w:pStyle w:val="5"/>
              <w:spacing w:line="240" w:lineRule="auto"/>
              <w:jc w:val="both"/>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技术人员支持</w:t>
            </w: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0B3B42DB">
            <w:pPr>
              <w:pStyle w:val="5"/>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20.00</w:t>
            </w:r>
          </w:p>
        </w:tc>
        <w:tc>
          <w:tcPr>
            <w:tcW w:w="6317" w:type="dxa"/>
            <w:tcBorders>
              <w:top w:val="single" w:color="auto" w:sz="4" w:space="0"/>
              <w:left w:val="single" w:color="auto" w:sz="4" w:space="0"/>
              <w:bottom w:val="single" w:color="auto" w:sz="4" w:space="0"/>
              <w:right w:val="single" w:color="auto" w:sz="4" w:space="0"/>
            </w:tcBorders>
            <w:shd w:val="clear" w:color="auto" w:fill="auto"/>
          </w:tcPr>
          <w:p w14:paraId="116E3F56">
            <w:pPr>
              <w:pStyle w:val="5"/>
              <w:spacing w:line="240" w:lineRule="auto"/>
              <w:jc w:val="both"/>
              <w:rPr>
                <w:rFonts w:hint="default"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根据本项目服务要求，需</w:t>
            </w:r>
            <w:r>
              <w:rPr>
                <w:rFonts w:hint="eastAsia" w:ascii="宋体" w:hAnsi="宋体" w:eastAsia="宋体" w:cs="宋体"/>
                <w:color w:val="auto"/>
                <w:sz w:val="21"/>
                <w:szCs w:val="21"/>
                <w:highlight w:val="none"/>
                <w:lang w:val="en-US" w:eastAsia="zh-CN"/>
              </w:rPr>
              <w:t>配备</w:t>
            </w:r>
            <w:r>
              <w:rPr>
                <w:rFonts w:hint="eastAsia" w:ascii="宋体" w:hAnsi="宋体" w:cs="宋体"/>
                <w:color w:val="auto"/>
                <w:sz w:val="21"/>
                <w:szCs w:val="21"/>
                <w:highlight w:val="none"/>
                <w:lang w:val="en-US" w:eastAsia="zh-CN"/>
              </w:rPr>
              <w:t>以下人员保障本项目的日常运作。1.</w:t>
            </w:r>
            <w:r>
              <w:rPr>
                <w:rFonts w:hint="eastAsia" w:ascii="宋体" w:hAnsi="宋体" w:eastAsia="宋体" w:cs="宋体"/>
                <w:color w:val="auto"/>
                <w:sz w:val="21"/>
                <w:szCs w:val="21"/>
                <w:highlight w:val="none"/>
                <w:lang w:val="en-US" w:eastAsia="zh-CN"/>
              </w:rPr>
              <w:t>专职驻点人员1名，应急保障技术人员1名，</w:t>
            </w:r>
            <w:r>
              <w:rPr>
                <w:rFonts w:hint="eastAsia" w:ascii="宋体" w:hAnsi="宋体" w:cs="宋体"/>
                <w:color w:val="auto"/>
                <w:sz w:val="21"/>
                <w:szCs w:val="21"/>
                <w:highlight w:val="none"/>
                <w:lang w:val="en-US" w:eastAsia="zh-CN"/>
              </w:rPr>
              <w:t>均</w:t>
            </w:r>
            <w:r>
              <w:rPr>
                <w:rFonts w:hint="eastAsia" w:ascii="宋体" w:hAnsi="宋体" w:eastAsia="宋体" w:cs="宋体"/>
                <w:color w:val="auto"/>
                <w:sz w:val="21"/>
                <w:szCs w:val="21"/>
                <w:highlight w:val="none"/>
                <w:lang w:val="en-US" w:eastAsia="zh-CN"/>
              </w:rPr>
              <w:t>须具备</w:t>
            </w:r>
            <w:r>
              <w:rPr>
                <w:rFonts w:hint="eastAsia" w:ascii="宋体" w:hAnsi="宋体" w:eastAsia="宋体" w:cs="宋体"/>
                <w:bCs/>
                <w:color w:val="auto"/>
                <w:sz w:val="21"/>
                <w:szCs w:val="21"/>
                <w:highlight w:val="none"/>
                <w:lang w:eastAsia="zh-CN"/>
              </w:rPr>
              <w:t>行政主管部门颁发的“防火安全操作专项职业能力</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低压电工作业”</w:t>
            </w:r>
            <w:r>
              <w:rPr>
                <w:rFonts w:hint="eastAsia" w:ascii="宋体" w:hAnsi="宋体" w:cs="宋体"/>
                <w:bCs/>
                <w:color w:val="auto"/>
                <w:sz w:val="21"/>
                <w:szCs w:val="21"/>
                <w:highlight w:val="none"/>
                <w:lang w:val="en-US" w:eastAsia="zh-CN"/>
              </w:rPr>
              <w:t>证</w:t>
            </w:r>
            <w:r>
              <w:rPr>
                <w:rFonts w:hint="eastAsia" w:ascii="宋体" w:hAnsi="宋体" w:eastAsia="宋体" w:cs="宋体"/>
                <w:bCs/>
                <w:color w:val="auto"/>
                <w:sz w:val="21"/>
                <w:szCs w:val="21"/>
                <w:highlight w:val="none"/>
                <w:lang w:eastAsia="zh-CN"/>
              </w:rPr>
              <w:t>合格证书，</w:t>
            </w:r>
            <w:r>
              <w:rPr>
                <w:rFonts w:hint="eastAsia" w:ascii="宋体" w:hAnsi="宋体" w:eastAsia="宋体" w:cs="宋体"/>
                <w:bCs/>
                <w:color w:val="auto"/>
                <w:sz w:val="21"/>
                <w:szCs w:val="21"/>
                <w:highlight w:val="none"/>
                <w:lang w:val="en-US" w:eastAsia="zh-CN"/>
              </w:rPr>
              <w:t>提供人员</w:t>
            </w:r>
            <w:r>
              <w:rPr>
                <w:rFonts w:hint="eastAsia" w:ascii="宋体" w:hAnsi="宋体" w:eastAsia="宋体" w:cs="宋体"/>
                <w:bCs/>
                <w:color w:val="auto"/>
                <w:sz w:val="21"/>
                <w:szCs w:val="21"/>
                <w:highlight w:val="none"/>
                <w:lang w:eastAsia="zh-CN"/>
              </w:rPr>
              <w:t>管理方案及《驻场人员信息表》，</w:t>
            </w:r>
            <w:r>
              <w:rPr>
                <w:rFonts w:hint="eastAsia" w:ascii="宋体" w:hAnsi="宋体" w:eastAsia="宋体" w:cs="宋体"/>
                <w:bCs/>
                <w:color w:val="auto"/>
                <w:sz w:val="21"/>
                <w:szCs w:val="21"/>
                <w:highlight w:val="none"/>
                <w:lang w:val="en-US" w:eastAsia="zh-CN"/>
              </w:rPr>
              <w:t>并提供</w:t>
            </w:r>
            <w:r>
              <w:rPr>
                <w:rFonts w:hint="eastAsia" w:ascii="宋体" w:hAnsi="宋体" w:eastAsia="宋体" w:cs="宋体"/>
                <w:bCs/>
                <w:color w:val="auto"/>
                <w:sz w:val="21"/>
                <w:szCs w:val="21"/>
                <w:highlight w:val="none"/>
                <w:lang w:eastAsia="zh-CN"/>
              </w:rPr>
              <w:t>对应专业证书复印件（含相关网络查询证明复印件</w:t>
            </w:r>
            <w:r>
              <w:rPr>
                <w:rFonts w:hint="eastAsia" w:ascii="宋体" w:hAnsi="宋体" w:eastAsia="宋体" w:cs="宋体"/>
                <w:bCs/>
                <w:color w:val="auto"/>
                <w:sz w:val="21"/>
                <w:szCs w:val="21"/>
                <w:highlight w:val="none"/>
                <w:lang w:val="en-US" w:eastAsia="zh-CN"/>
              </w:rPr>
              <w:t>及</w:t>
            </w:r>
            <w:r>
              <w:rPr>
                <w:rFonts w:hint="eastAsia" w:ascii="宋体" w:hAnsi="宋体" w:eastAsia="宋体" w:cs="宋体"/>
                <w:bCs/>
                <w:color w:val="auto"/>
                <w:sz w:val="21"/>
                <w:szCs w:val="21"/>
                <w:highlight w:val="none"/>
                <w:lang w:eastAsia="zh-CN"/>
              </w:rPr>
              <w:t>查询</w:t>
            </w:r>
            <w:r>
              <w:rPr>
                <w:rFonts w:hint="eastAsia" w:ascii="宋体" w:hAnsi="宋体" w:eastAsia="宋体" w:cs="宋体"/>
                <w:bCs/>
                <w:color w:val="auto"/>
                <w:sz w:val="21"/>
                <w:szCs w:val="21"/>
                <w:highlight w:val="none"/>
                <w:lang w:val="en-US" w:eastAsia="zh-CN"/>
              </w:rPr>
              <w:t>网址</w:t>
            </w:r>
            <w:r>
              <w:rPr>
                <w:rFonts w:hint="eastAsia" w:ascii="宋体" w:hAnsi="宋体" w:eastAsia="宋体" w:cs="宋体"/>
                <w:bCs/>
                <w:color w:val="auto"/>
                <w:sz w:val="21"/>
                <w:szCs w:val="21"/>
                <w:highlight w:val="none"/>
                <w:lang w:eastAsia="zh-CN"/>
              </w:rPr>
              <w:t>）、投标截止时间前半年内任意一个月由投标人为其缴纳社保凭证（不含投标截止当月）。</w:t>
            </w:r>
            <w:r>
              <w:rPr>
                <w:rFonts w:hint="eastAsia" w:ascii="宋体" w:hAnsi="宋体" w:eastAsia="宋体" w:cs="宋体"/>
                <w:color w:val="auto"/>
                <w:sz w:val="21"/>
                <w:szCs w:val="21"/>
                <w:highlight w:val="none"/>
                <w:lang w:val="en-US" w:eastAsia="zh-CN"/>
              </w:rPr>
              <w:t>优(</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以上要求均</w:t>
            </w:r>
            <w:r>
              <w:rPr>
                <w:rFonts w:hint="eastAsia" w:ascii="宋体" w:hAnsi="宋体" w:cs="宋体"/>
                <w:bCs/>
                <w:color w:val="auto"/>
                <w:sz w:val="21"/>
                <w:szCs w:val="21"/>
                <w:highlight w:val="none"/>
                <w:lang w:val="en-US" w:eastAsia="zh-CN"/>
              </w:rPr>
              <w:t>满足2名技术支持人员；</w:t>
            </w:r>
            <w:r>
              <w:rPr>
                <w:rFonts w:hint="eastAsia" w:ascii="宋体" w:hAnsi="宋体" w:eastAsia="宋体" w:cs="宋体"/>
                <w:color w:val="auto"/>
                <w:sz w:val="21"/>
                <w:szCs w:val="21"/>
                <w:highlight w:val="none"/>
                <w:lang w:val="en-US" w:eastAsia="zh-CN"/>
              </w:rPr>
              <w:t>良(</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以上要求均</w:t>
            </w:r>
            <w:r>
              <w:rPr>
                <w:rFonts w:hint="eastAsia" w:ascii="宋体" w:hAnsi="宋体" w:cs="宋体"/>
                <w:bCs/>
                <w:color w:val="auto"/>
                <w:sz w:val="21"/>
                <w:szCs w:val="21"/>
                <w:highlight w:val="none"/>
                <w:lang w:val="en-US" w:eastAsia="zh-CN"/>
              </w:rPr>
              <w:t>满足1名技术支持人员；</w:t>
            </w:r>
            <w:r>
              <w:rPr>
                <w:rFonts w:hint="eastAsia" w:ascii="宋体" w:hAnsi="宋体" w:eastAsia="宋体" w:cs="宋体"/>
                <w:color w:val="auto"/>
                <w:sz w:val="21"/>
                <w:szCs w:val="21"/>
                <w:highlight w:val="none"/>
                <w:lang w:eastAsia="zh-CN"/>
              </w:rPr>
              <w:t>差或未提供（</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未提供</w:t>
            </w:r>
            <w:r>
              <w:rPr>
                <w:rFonts w:hint="eastAsia" w:ascii="宋体" w:hAnsi="宋体" w:cs="宋体"/>
                <w:color w:val="auto"/>
                <w:sz w:val="21"/>
                <w:szCs w:val="21"/>
                <w:highlight w:val="none"/>
                <w:lang w:val="en-US" w:eastAsia="zh-CN"/>
              </w:rPr>
              <w:t>人员或</w:t>
            </w:r>
            <w:r>
              <w:rPr>
                <w:rFonts w:hint="eastAsia" w:ascii="宋体" w:hAnsi="宋体" w:eastAsia="宋体" w:cs="宋体"/>
                <w:color w:val="auto"/>
                <w:sz w:val="21"/>
                <w:szCs w:val="21"/>
                <w:highlight w:val="none"/>
                <w:lang w:val="en-US" w:eastAsia="zh-CN"/>
              </w:rPr>
              <w:t>有明显错误与项目情况不相符的不得分。</w:t>
            </w:r>
          </w:p>
        </w:tc>
      </w:tr>
      <w:tr w14:paraId="4A5E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72759B7">
            <w:pPr>
              <w:widowControl/>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B4</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17D8DD54">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业绩与信誉</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BE63523">
            <w:pPr>
              <w:widowControl/>
              <w:spacing w:line="24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lang w:val="en-US" w:eastAsia="zh-CN"/>
              </w:rPr>
              <w:t>.00</w:t>
            </w:r>
          </w:p>
        </w:tc>
        <w:tc>
          <w:tcPr>
            <w:tcW w:w="6317" w:type="dxa"/>
            <w:tcBorders>
              <w:top w:val="single" w:color="auto" w:sz="4" w:space="0"/>
              <w:left w:val="single" w:color="auto" w:sz="4" w:space="0"/>
              <w:bottom w:val="single" w:color="auto" w:sz="4" w:space="0"/>
              <w:right w:val="single" w:color="auto" w:sz="4" w:space="0"/>
            </w:tcBorders>
            <w:shd w:val="clear" w:color="auto" w:fill="auto"/>
          </w:tcPr>
          <w:p w14:paraId="4349AB8C">
            <w:pPr>
              <w:widowControl/>
              <w:spacing w:line="240" w:lineRule="auto"/>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投标人自202</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年01月01日至本项目投标截止时间止（以合同签订的日期为准），</w:t>
            </w:r>
            <w:r>
              <w:rPr>
                <w:rFonts w:hint="eastAsia" w:ascii="宋体" w:hAnsi="宋体" w:eastAsia="宋体" w:cs="宋体"/>
                <w:color w:val="000000"/>
                <w:kern w:val="0"/>
                <w:sz w:val="21"/>
                <w:szCs w:val="21"/>
                <w:highlight w:val="none"/>
                <w:lang w:val="en-US" w:eastAsia="zh-CN"/>
              </w:rPr>
              <w:t>共享服务类</w:t>
            </w:r>
            <w:r>
              <w:rPr>
                <w:rFonts w:hint="eastAsia" w:ascii="宋体" w:hAnsi="宋体" w:eastAsia="宋体" w:cs="宋体"/>
                <w:color w:val="000000"/>
                <w:kern w:val="0"/>
                <w:sz w:val="21"/>
                <w:szCs w:val="21"/>
                <w:highlight w:val="none"/>
              </w:rPr>
              <w:t>项目</w:t>
            </w:r>
            <w:r>
              <w:rPr>
                <w:rFonts w:hint="eastAsia" w:ascii="宋体" w:hAnsi="宋体" w:eastAsia="宋体" w:cs="宋体"/>
                <w:color w:val="000000"/>
                <w:kern w:val="0"/>
                <w:sz w:val="21"/>
                <w:szCs w:val="21"/>
                <w:highlight w:val="none"/>
                <w:lang w:val="en-US" w:eastAsia="zh-CN"/>
              </w:rPr>
              <w:t>或维保服务类</w:t>
            </w:r>
            <w:r>
              <w:rPr>
                <w:rFonts w:hint="eastAsia" w:ascii="宋体" w:hAnsi="宋体" w:eastAsia="宋体" w:cs="宋体"/>
                <w:color w:val="000000"/>
                <w:kern w:val="0"/>
                <w:sz w:val="21"/>
                <w:szCs w:val="21"/>
                <w:highlight w:val="none"/>
              </w:rPr>
              <w:t>案例，每提供一份</w:t>
            </w:r>
            <w:r>
              <w:rPr>
                <w:rFonts w:hint="eastAsia" w:ascii="宋体" w:hAnsi="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lang w:val="en-US" w:eastAsia="zh-CN"/>
              </w:rPr>
              <w:t>分，</w:t>
            </w:r>
            <w:r>
              <w:rPr>
                <w:rFonts w:hint="eastAsia" w:ascii="宋体" w:hAnsi="宋体" w:eastAsia="宋体" w:cs="宋体"/>
                <w:color w:val="000000"/>
                <w:kern w:val="0"/>
                <w:sz w:val="21"/>
                <w:szCs w:val="21"/>
                <w:highlight w:val="none"/>
              </w:rPr>
              <w:t>满分</w:t>
            </w:r>
            <w:r>
              <w:rPr>
                <w:rFonts w:hint="eastAsia" w:ascii="宋体" w:hAnsi="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分。须同时提供中标公告(提供相关网站中标公告的下载网页并注明网址)、中标通知书复印件、</w:t>
            </w:r>
            <w:r>
              <w:rPr>
                <w:rFonts w:hint="eastAsia" w:ascii="宋体" w:hAnsi="宋体" w:eastAsia="宋体" w:cs="宋体"/>
                <w:color w:val="000000"/>
                <w:kern w:val="0"/>
                <w:sz w:val="21"/>
                <w:szCs w:val="21"/>
                <w:highlight w:val="none"/>
                <w:lang w:val="en-US" w:eastAsia="zh-CN"/>
              </w:rPr>
              <w:t>完整合同（合同需至少包含轮椅维保或共享运营内容）</w:t>
            </w:r>
            <w:r>
              <w:rPr>
                <w:rFonts w:hint="eastAsia" w:ascii="宋体" w:hAnsi="宋体" w:eastAsia="宋体" w:cs="宋体"/>
                <w:color w:val="000000"/>
                <w:kern w:val="0"/>
                <w:sz w:val="21"/>
                <w:szCs w:val="21"/>
                <w:highlight w:val="none"/>
              </w:rPr>
              <w:t>文本复印件，未提供或提供不齐全或提供的材料不符合要求的本项不得分。</w:t>
            </w:r>
          </w:p>
        </w:tc>
      </w:tr>
      <w:tr w14:paraId="3625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37EC2726">
            <w:pPr>
              <w:widowControl/>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B5</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572E439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信息化与数据服务</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E3DEFC8">
            <w:pPr>
              <w:widowControl/>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lang w:val="en-US" w:eastAsia="zh-CN"/>
              </w:rPr>
              <w:t>.00</w:t>
            </w:r>
          </w:p>
        </w:tc>
        <w:tc>
          <w:tcPr>
            <w:tcW w:w="6317" w:type="dxa"/>
            <w:tcBorders>
              <w:top w:val="single" w:color="auto" w:sz="4" w:space="0"/>
              <w:left w:val="single" w:color="auto" w:sz="4" w:space="0"/>
              <w:bottom w:val="single" w:color="auto" w:sz="4" w:space="0"/>
              <w:right w:val="single" w:color="auto" w:sz="4" w:space="0"/>
            </w:tcBorders>
            <w:shd w:val="clear" w:color="auto" w:fill="auto"/>
          </w:tcPr>
          <w:p w14:paraId="1861B3B0">
            <w:pPr>
              <w:widowControl/>
              <w:spacing w:line="240" w:lineRule="auto"/>
              <w:jc w:val="lef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lang w:val="en-US" w:eastAsia="zh-CN"/>
              </w:rPr>
              <w:t>优(</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color w:val="000000"/>
                <w:kern w:val="0"/>
                <w:sz w:val="21"/>
                <w:szCs w:val="21"/>
                <w:highlight w:val="none"/>
              </w:rPr>
              <w:t>承诺提供后台管理系统，支持数据查询、统计分析，</w:t>
            </w:r>
            <w:r>
              <w:rPr>
                <w:rFonts w:hint="eastAsia" w:ascii="宋体" w:hAnsi="宋体" w:eastAsia="宋体" w:cs="宋体"/>
                <w:sz w:val="21"/>
                <w:szCs w:val="21"/>
                <w:highlight w:val="none"/>
              </w:rPr>
              <w:t>并能</w:t>
            </w:r>
            <w:r>
              <w:rPr>
                <w:rFonts w:hint="eastAsia" w:ascii="宋体" w:hAnsi="宋体" w:cs="宋体"/>
                <w:sz w:val="21"/>
                <w:szCs w:val="21"/>
                <w:highlight w:val="none"/>
                <w:lang w:val="en-US" w:eastAsia="zh-CN"/>
              </w:rPr>
              <w:t>提供报表给院方作为存档备查</w:t>
            </w:r>
            <w:r>
              <w:rPr>
                <w:rFonts w:hint="eastAsia" w:ascii="宋体" w:hAnsi="宋体" w:eastAsia="宋体" w:cs="宋体"/>
                <w:color w:val="000000"/>
                <w:kern w:val="0"/>
                <w:sz w:val="21"/>
                <w:szCs w:val="21"/>
                <w:highlight w:val="none"/>
              </w:rPr>
              <w:t>；</w:t>
            </w:r>
            <w:r>
              <w:rPr>
                <w:rFonts w:hint="eastAsia" w:ascii="宋体" w:hAnsi="宋体" w:eastAsia="宋体" w:cs="宋体"/>
                <w:sz w:val="21"/>
                <w:szCs w:val="21"/>
                <w:highlight w:val="none"/>
                <w:lang w:val="en-US" w:eastAsia="zh-CN"/>
              </w:rPr>
              <w:t>良(</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r>
              <w:rPr>
                <w:rFonts w:hint="eastAsia" w:ascii="宋体" w:hAnsi="宋体" w:eastAsia="宋体" w:cs="宋体"/>
                <w:color w:val="000000"/>
                <w:kern w:val="0"/>
                <w:sz w:val="21"/>
                <w:szCs w:val="21"/>
                <w:highlight w:val="none"/>
              </w:rPr>
              <w:t>仅能提供基本数据查询的；</w:t>
            </w:r>
            <w:r>
              <w:rPr>
                <w:rFonts w:hint="eastAsia" w:ascii="宋体" w:hAnsi="宋体" w:eastAsia="宋体" w:cs="宋体"/>
                <w:sz w:val="21"/>
                <w:szCs w:val="21"/>
                <w:highlight w:val="none"/>
                <w:lang w:eastAsia="zh-CN"/>
              </w:rPr>
              <w:t>差或未提供（</w:t>
            </w:r>
            <w:r>
              <w:rPr>
                <w:rFonts w:hint="eastAsia" w:ascii="宋体" w:hAnsi="宋体" w:eastAsia="宋体" w:cs="宋体"/>
                <w:sz w:val="21"/>
                <w:szCs w:val="21"/>
                <w:highlight w:val="none"/>
                <w:lang w:val="en-US" w:eastAsia="zh-CN"/>
              </w:rPr>
              <w:t>0分</w:t>
            </w:r>
            <w:r>
              <w:rPr>
                <w:rFonts w:hint="eastAsia" w:ascii="宋体" w:hAnsi="宋体" w:eastAsia="宋体" w:cs="宋体"/>
                <w:sz w:val="21"/>
                <w:szCs w:val="21"/>
                <w:highlight w:val="none"/>
                <w:lang w:eastAsia="zh-CN"/>
              </w:rPr>
              <w:t>）：</w:t>
            </w:r>
            <w:r>
              <w:rPr>
                <w:rFonts w:hint="eastAsia" w:ascii="宋体" w:hAnsi="宋体" w:eastAsia="宋体" w:cs="宋体"/>
                <w:color w:val="000000"/>
                <w:kern w:val="0"/>
                <w:sz w:val="21"/>
                <w:szCs w:val="21"/>
                <w:highlight w:val="none"/>
              </w:rPr>
              <w:t>未承诺不得分。</w:t>
            </w:r>
          </w:p>
        </w:tc>
      </w:tr>
      <w:tr w14:paraId="4F80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03" w:type="dxa"/>
            <w:gridSpan w:val="4"/>
            <w:tcBorders>
              <w:top w:val="single" w:color="auto" w:sz="4" w:space="0"/>
              <w:left w:val="single" w:color="auto" w:sz="4" w:space="0"/>
              <w:bottom w:val="single" w:color="auto" w:sz="4" w:space="0"/>
              <w:right w:val="single" w:color="auto" w:sz="4" w:space="0"/>
            </w:tcBorders>
            <w:vAlign w:val="center"/>
          </w:tcPr>
          <w:p w14:paraId="129F59D3">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样品评价部分30分（</w:t>
            </w:r>
            <w:r>
              <w:rPr>
                <w:rFonts w:hint="eastAsia" w:ascii="宋体" w:hAnsi="宋体" w:eastAsia="宋体" w:cs="宋体"/>
                <w:sz w:val="21"/>
                <w:szCs w:val="21"/>
              </w:rPr>
              <w:t>需提供一台共享轮椅样品进行现场功能演示与测试</w:t>
            </w:r>
            <w:r>
              <w:rPr>
                <w:rFonts w:hint="eastAsia" w:ascii="宋体" w:hAnsi="宋体" w:eastAsia="宋体" w:cs="宋体"/>
                <w:color w:val="000000"/>
                <w:kern w:val="0"/>
                <w:sz w:val="21"/>
                <w:szCs w:val="21"/>
                <w:lang w:val="en-US" w:eastAsia="zh-CN"/>
              </w:rPr>
              <w:t>）</w:t>
            </w:r>
          </w:p>
        </w:tc>
      </w:tr>
      <w:tr w14:paraId="5588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2E1088BC">
            <w:pPr>
              <w:widowControl/>
              <w:spacing w:line="240" w:lineRule="auto"/>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C</w:t>
            </w:r>
            <w:r>
              <w:rPr>
                <w:rFonts w:hint="eastAsia" w:ascii="宋体" w:hAnsi="宋体" w:eastAsia="宋体" w:cs="宋体"/>
                <w:color w:val="000000"/>
                <w:kern w:val="0"/>
                <w:sz w:val="21"/>
                <w:szCs w:val="21"/>
                <w:lang w:val="en-US" w:eastAsia="zh-CN"/>
              </w:rPr>
              <w:t>1</w:t>
            </w:r>
          </w:p>
        </w:tc>
        <w:tc>
          <w:tcPr>
            <w:tcW w:w="1116" w:type="dxa"/>
            <w:tcBorders>
              <w:top w:val="single" w:color="auto" w:sz="4" w:space="0"/>
              <w:left w:val="single" w:color="auto" w:sz="4" w:space="0"/>
              <w:bottom w:val="single" w:color="auto" w:sz="4" w:space="0"/>
              <w:right w:val="single" w:color="auto" w:sz="4" w:space="0"/>
            </w:tcBorders>
            <w:vAlign w:val="center"/>
          </w:tcPr>
          <w:p w14:paraId="4741506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产品质量与材质</w:t>
            </w:r>
          </w:p>
        </w:tc>
        <w:tc>
          <w:tcPr>
            <w:tcW w:w="804" w:type="dxa"/>
            <w:tcBorders>
              <w:top w:val="single" w:color="auto" w:sz="4" w:space="0"/>
              <w:left w:val="single" w:color="auto" w:sz="4" w:space="0"/>
              <w:bottom w:val="single" w:color="auto" w:sz="4" w:space="0"/>
              <w:right w:val="single" w:color="auto" w:sz="4" w:space="0"/>
            </w:tcBorders>
            <w:vAlign w:val="center"/>
          </w:tcPr>
          <w:p w14:paraId="0EA34C3F">
            <w:pPr>
              <w:widowControl/>
              <w:spacing w:line="240" w:lineRule="auto"/>
              <w:jc w:val="center"/>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rPr>
              <w:t>10.00</w:t>
            </w:r>
          </w:p>
        </w:tc>
        <w:tc>
          <w:tcPr>
            <w:tcW w:w="6317" w:type="dxa"/>
            <w:tcBorders>
              <w:top w:val="single" w:color="auto" w:sz="4" w:space="0"/>
              <w:left w:val="single" w:color="auto" w:sz="4" w:space="0"/>
              <w:bottom w:val="single" w:color="auto" w:sz="4" w:space="0"/>
              <w:right w:val="single" w:color="auto" w:sz="4" w:space="0"/>
            </w:tcBorders>
          </w:tcPr>
          <w:p w14:paraId="45380E40">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sz w:val="21"/>
                <w:szCs w:val="21"/>
                <w:lang w:eastAsia="zh-CN"/>
              </w:rPr>
              <w:t>轮椅材质坚固，设计合理，做工精细，舒适度好。优：9-10分；良：7-8分；一般：5-6分；差：0-4分。</w:t>
            </w:r>
            <w:r>
              <w:rPr>
                <w:rFonts w:hint="eastAsia" w:ascii="宋体" w:hAnsi="宋体" w:eastAsia="宋体" w:cs="宋体"/>
                <w:color w:val="000000"/>
                <w:kern w:val="0"/>
                <w:sz w:val="21"/>
                <w:szCs w:val="21"/>
              </w:rPr>
              <w:t>未提供或提供不齐全或提供的材料不符合要求的本项不得分。</w:t>
            </w:r>
          </w:p>
        </w:tc>
      </w:tr>
      <w:tr w14:paraId="0EE9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F6ED7EC">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C2</w:t>
            </w:r>
          </w:p>
        </w:tc>
        <w:tc>
          <w:tcPr>
            <w:tcW w:w="1116" w:type="dxa"/>
            <w:tcBorders>
              <w:top w:val="single" w:color="auto" w:sz="4" w:space="0"/>
              <w:left w:val="single" w:color="auto" w:sz="4" w:space="0"/>
              <w:bottom w:val="single" w:color="auto" w:sz="4" w:space="0"/>
              <w:right w:val="single" w:color="auto" w:sz="4" w:space="0"/>
            </w:tcBorders>
            <w:vAlign w:val="center"/>
          </w:tcPr>
          <w:p w14:paraId="019222F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功能性与易用性</w:t>
            </w:r>
          </w:p>
        </w:tc>
        <w:tc>
          <w:tcPr>
            <w:tcW w:w="804" w:type="dxa"/>
            <w:tcBorders>
              <w:top w:val="single" w:color="auto" w:sz="4" w:space="0"/>
              <w:left w:val="single" w:color="auto" w:sz="4" w:space="0"/>
              <w:bottom w:val="single" w:color="auto" w:sz="4" w:space="0"/>
              <w:right w:val="single" w:color="auto" w:sz="4" w:space="0"/>
            </w:tcBorders>
            <w:vAlign w:val="center"/>
          </w:tcPr>
          <w:p w14:paraId="28330C3F">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10.00</w:t>
            </w:r>
          </w:p>
        </w:tc>
        <w:tc>
          <w:tcPr>
            <w:tcW w:w="6317" w:type="dxa"/>
            <w:tcBorders>
              <w:top w:val="single" w:color="auto" w:sz="4" w:space="0"/>
              <w:left w:val="single" w:color="auto" w:sz="4" w:space="0"/>
              <w:bottom w:val="single" w:color="auto" w:sz="4" w:space="0"/>
              <w:right w:val="single" w:color="auto" w:sz="4" w:space="0"/>
            </w:tcBorders>
          </w:tcPr>
          <w:p w14:paraId="545649FD">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智能锁功能稳定，租借流程顺畅，</w:t>
            </w:r>
            <w:r>
              <w:rPr>
                <w:rFonts w:hint="eastAsia" w:ascii="宋体" w:hAnsi="宋体" w:cs="宋体"/>
                <w:sz w:val="21"/>
                <w:szCs w:val="21"/>
                <w:lang w:val="en-US" w:eastAsia="zh-CN"/>
              </w:rPr>
              <w:t>支持微信/支付宝扫码使用</w:t>
            </w:r>
            <w:r>
              <w:rPr>
                <w:rFonts w:hint="eastAsia" w:ascii="宋体" w:hAnsi="宋体" w:eastAsia="宋体" w:cs="宋体"/>
                <w:sz w:val="21"/>
                <w:szCs w:val="21"/>
              </w:rPr>
              <w:t>，提醒功能完备</w:t>
            </w:r>
            <w:r>
              <w:rPr>
                <w:rFonts w:hint="eastAsia" w:ascii="宋体" w:hAnsi="宋体" w:eastAsia="宋体" w:cs="宋体"/>
                <w:sz w:val="21"/>
                <w:szCs w:val="21"/>
                <w:lang w:val="en-US"/>
              </w:rPr>
              <w:t>，</w:t>
            </w:r>
            <w:r>
              <w:rPr>
                <w:rFonts w:hint="eastAsia" w:ascii="宋体" w:hAnsi="宋体" w:eastAsia="宋体" w:cs="宋体"/>
                <w:sz w:val="21"/>
                <w:szCs w:val="21"/>
                <w:highlight w:val="none"/>
                <w:lang w:val="en-US"/>
              </w:rPr>
              <w:t>每台</w:t>
            </w:r>
            <w:r>
              <w:rPr>
                <w:rFonts w:hint="eastAsia" w:ascii="宋体" w:hAnsi="宋体" w:eastAsia="宋体" w:cs="宋体"/>
                <w:b w:val="0"/>
                <w:bCs w:val="0"/>
                <w:i w:val="0"/>
                <w:iCs w:val="0"/>
                <w:color w:val="auto"/>
                <w:kern w:val="2"/>
                <w:sz w:val="21"/>
                <w:szCs w:val="21"/>
                <w:highlight w:val="none"/>
                <w:vertAlign w:val="baseline"/>
                <w:lang w:val="en-US" w:eastAsia="zh-CN" w:bidi="ar-SA"/>
              </w:rPr>
              <w:t>轮椅均配备GPS定位功能</w:t>
            </w:r>
            <w:r>
              <w:rPr>
                <w:rFonts w:hint="eastAsia" w:ascii="宋体" w:hAnsi="宋体" w:eastAsia="宋体" w:cs="宋体"/>
                <w:sz w:val="21"/>
                <w:szCs w:val="21"/>
                <w:highlight w:val="none"/>
              </w:rPr>
              <w:t>。</w:t>
            </w:r>
            <w:r>
              <w:rPr>
                <w:rFonts w:hint="eastAsia" w:ascii="宋体" w:hAnsi="宋体" w:eastAsia="宋体" w:cs="宋体"/>
                <w:sz w:val="21"/>
                <w:szCs w:val="21"/>
              </w:rPr>
              <w:t>优：9-10分；良：7-8分；一般：5-6分；差或功能缺失：0-4分。</w:t>
            </w:r>
            <w:r>
              <w:rPr>
                <w:rFonts w:hint="eastAsia" w:ascii="宋体" w:hAnsi="宋体" w:eastAsia="宋体" w:cs="宋体"/>
                <w:color w:val="000000"/>
                <w:kern w:val="0"/>
                <w:sz w:val="21"/>
                <w:szCs w:val="21"/>
              </w:rPr>
              <w:t>未提供或提供不齐全或提供的材料不符合要求的本项不得分。</w:t>
            </w:r>
          </w:p>
        </w:tc>
      </w:tr>
      <w:tr w14:paraId="148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310F6756">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C3</w:t>
            </w:r>
          </w:p>
        </w:tc>
        <w:tc>
          <w:tcPr>
            <w:tcW w:w="1116" w:type="dxa"/>
            <w:tcBorders>
              <w:top w:val="single" w:color="auto" w:sz="4" w:space="0"/>
              <w:left w:val="single" w:color="auto" w:sz="4" w:space="0"/>
              <w:bottom w:val="single" w:color="auto" w:sz="4" w:space="0"/>
              <w:right w:val="single" w:color="auto" w:sz="4" w:space="0"/>
            </w:tcBorders>
            <w:vAlign w:val="center"/>
          </w:tcPr>
          <w:p w14:paraId="5120914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安全性与耐用性</w:t>
            </w:r>
          </w:p>
        </w:tc>
        <w:tc>
          <w:tcPr>
            <w:tcW w:w="804" w:type="dxa"/>
            <w:tcBorders>
              <w:top w:val="single" w:color="auto" w:sz="4" w:space="0"/>
              <w:left w:val="single" w:color="auto" w:sz="4" w:space="0"/>
              <w:bottom w:val="single" w:color="auto" w:sz="4" w:space="0"/>
              <w:right w:val="single" w:color="auto" w:sz="4" w:space="0"/>
            </w:tcBorders>
            <w:vAlign w:val="center"/>
          </w:tcPr>
          <w:p w14:paraId="341ADFBC">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10.00</w:t>
            </w:r>
          </w:p>
        </w:tc>
        <w:tc>
          <w:tcPr>
            <w:tcW w:w="6317" w:type="dxa"/>
            <w:tcBorders>
              <w:top w:val="single" w:color="auto" w:sz="4" w:space="0"/>
              <w:left w:val="single" w:color="auto" w:sz="4" w:space="0"/>
              <w:bottom w:val="single" w:color="auto" w:sz="4" w:space="0"/>
              <w:right w:val="single" w:color="auto" w:sz="4" w:space="0"/>
            </w:tcBorders>
          </w:tcPr>
          <w:p w14:paraId="195F922E">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刹车灵敏，轮胎耐磨，承重能力达标，结构安全</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需承诺</w:t>
            </w:r>
            <w:r>
              <w:rPr>
                <w:rFonts w:hint="eastAsia" w:ascii="宋体" w:hAnsi="宋体" w:eastAsia="宋体" w:cs="宋体"/>
                <w:b w:val="0"/>
                <w:bCs w:val="0"/>
                <w:i w:val="0"/>
                <w:iCs w:val="0"/>
                <w:color w:val="auto"/>
                <w:kern w:val="2"/>
                <w:sz w:val="21"/>
                <w:szCs w:val="21"/>
                <w:highlight w:val="none"/>
                <w:vertAlign w:val="baseline"/>
                <w:lang w:val="en-US" w:eastAsia="zh-CN" w:bidi="ar-SA"/>
              </w:rPr>
              <w:t>为本项目投保公众责任险（第三方责任险），单次事故赔偿限额至少100万元。</w:t>
            </w:r>
            <w:r>
              <w:rPr>
                <w:rFonts w:hint="eastAsia" w:ascii="宋体" w:hAnsi="宋体" w:eastAsia="宋体" w:cs="宋体"/>
                <w:sz w:val="21"/>
                <w:szCs w:val="21"/>
                <w:lang w:eastAsia="zh-CN"/>
              </w:rPr>
              <w:t>优：9-10分；良：7-8分；一般：5-6分；差或存在安全隐患：0分。</w:t>
            </w:r>
            <w:r>
              <w:rPr>
                <w:rFonts w:hint="eastAsia" w:ascii="宋体" w:hAnsi="宋体" w:eastAsia="宋体" w:cs="宋体"/>
                <w:color w:val="000000"/>
                <w:kern w:val="0"/>
                <w:sz w:val="21"/>
                <w:szCs w:val="21"/>
              </w:rPr>
              <w:t>未提供或提供不齐全或提供的材料不符合要求的本项不得分。</w:t>
            </w:r>
          </w:p>
        </w:tc>
      </w:tr>
    </w:tbl>
    <w:p w14:paraId="0EDF723C">
      <w:pPr>
        <w:spacing w:line="360" w:lineRule="auto"/>
        <w:rPr>
          <w:rFonts w:hint="eastAsia" w:ascii="宋体" w:hAnsi="宋体" w:eastAsia="宋体" w:cs="宋体"/>
          <w:sz w:val="21"/>
          <w:szCs w:val="21"/>
        </w:rPr>
      </w:pPr>
      <w:r>
        <w:rPr>
          <w:rFonts w:hint="eastAsia" w:ascii="宋体" w:hAnsi="宋体" w:eastAsia="宋体" w:cs="宋体"/>
          <w:sz w:val="21"/>
          <w:szCs w:val="21"/>
        </w:rPr>
        <w:t>说明：</w:t>
      </w:r>
    </w:p>
    <w:p w14:paraId="3C337B21">
      <w:pPr>
        <w:spacing w:line="360" w:lineRule="auto"/>
        <w:rPr>
          <w:rFonts w:hint="eastAsia" w:ascii="宋体" w:hAnsi="宋体" w:eastAsia="宋体" w:cs="宋体"/>
          <w:sz w:val="21"/>
          <w:szCs w:val="21"/>
        </w:rPr>
      </w:pPr>
      <w:r>
        <w:rPr>
          <w:rFonts w:hint="eastAsia" w:ascii="宋体" w:hAnsi="宋体" w:eastAsia="宋体" w:cs="宋体"/>
          <w:sz w:val="21"/>
          <w:szCs w:val="21"/>
        </w:rPr>
        <w:t>1. 资格性审查：采用资格后审方式，评审小组将首先依据招标公告要求对供应商的资格条件进行审查，未通过审查的供应商，其响应文件将不再进行下一步评审。</w:t>
      </w:r>
    </w:p>
    <w:p w14:paraId="5446C4A3">
      <w:pPr>
        <w:spacing w:line="360" w:lineRule="auto"/>
        <w:rPr>
          <w:rFonts w:hint="eastAsia" w:ascii="宋体" w:hAnsi="宋体" w:eastAsia="宋体" w:cs="宋体"/>
          <w:sz w:val="21"/>
          <w:szCs w:val="21"/>
        </w:rPr>
      </w:pPr>
      <w:r>
        <w:rPr>
          <w:rFonts w:hint="eastAsia" w:ascii="宋体" w:hAnsi="宋体" w:eastAsia="宋体" w:cs="宋体"/>
          <w:sz w:val="21"/>
          <w:szCs w:val="21"/>
        </w:rPr>
        <w:t>2. 细微偏差：评审小组将对通过资格审查的响应文件进行详细评审，对存在的细微偏差（如个别资料漏签章等）可要求供应商在规定的短时间内进行补正。</w:t>
      </w:r>
    </w:p>
    <w:p w14:paraId="44B71108">
      <w:pPr>
        <w:spacing w:line="360" w:lineRule="auto"/>
        <w:rPr>
          <w:rFonts w:hint="eastAsia" w:ascii="宋体" w:hAnsi="宋体" w:eastAsia="宋体" w:cs="宋体"/>
          <w:sz w:val="21"/>
          <w:szCs w:val="21"/>
        </w:rPr>
      </w:pPr>
      <w:r>
        <w:rPr>
          <w:rFonts w:hint="eastAsia" w:ascii="宋体" w:hAnsi="宋体" w:eastAsia="宋体" w:cs="宋体"/>
          <w:sz w:val="21"/>
          <w:szCs w:val="21"/>
        </w:rPr>
        <w:t>3. 评分汇总：每位评委独立打分，最终得分为所有评委分数的算术平均值（保留小数点后两位）。</w:t>
      </w:r>
    </w:p>
    <w:p w14:paraId="1643CB5A">
      <w:pPr>
        <w:spacing w:line="360" w:lineRule="auto"/>
        <w:rPr>
          <w:rFonts w:hint="eastAsia" w:ascii="宋体" w:hAnsi="宋体" w:eastAsia="宋体" w:cs="宋体"/>
          <w:sz w:val="21"/>
          <w:szCs w:val="21"/>
        </w:rPr>
      </w:pPr>
    </w:p>
    <w:p w14:paraId="5D4270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F31F4"/>
    <w:rsid w:val="252D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3366</Words>
  <Characters>3546</Characters>
  <Lines>0</Lines>
  <Paragraphs>0</Paragraphs>
  <TotalTime>0</TotalTime>
  <ScaleCrop>false</ScaleCrop>
  <LinksUpToDate>false</LinksUpToDate>
  <CharactersWithSpaces>3553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2025-09-22T08:19:00Z</dcterms:created>
  <dc:creator>FDCX</dc:creator>
  <cp:lastModifiedBy>冬木谷雨</cp:lastModifiedBy>
  <dcterms:modified xsi:type="dcterms:W3CDTF">2025-09-22T08:21:30Z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eyJoZGlkIjoiM2JjMDY2N2ZiZGYyMDJkOThmMDU0OTI1NWExMWE4Y2UiLCJ1c2VySWQiOiI2NzI1NDY3MjEifQ==</vt:lpwstr>
  </property>
  <property fmtid="{D5CDD505-2E9C-101B-9397-08002B2CF9AE}" pid="4" name="ICV">
    <vt:lpwstr>581731DE534542FA9BF3A2C5DC595FCC_12</vt:lpwstr>
  </property>
</Properties>
</file>