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393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福建省公立医院质量信息公开指标</w:t>
      </w:r>
    </w:p>
    <w:p w14:paraId="411F14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</w:pPr>
    </w:p>
    <w:p w14:paraId="17F215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单位：福鼎市医院</w:t>
      </w:r>
    </w:p>
    <w:tbl>
      <w:tblPr>
        <w:tblStyle w:val="2"/>
        <w:tblpPr w:leftFromText="180" w:rightFromText="180" w:vertAnchor="text" w:horzAnchor="page" w:tblpX="1237" w:tblpY="670"/>
        <w:tblOverlap w:val="never"/>
        <w:tblW w:w="102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7"/>
        <w:gridCol w:w="4741"/>
        <w:gridCol w:w="3119"/>
      </w:tblGrid>
      <w:tr w14:paraId="688B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1692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一级指标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D6B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二级指标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F8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2025年第2季度</w:t>
            </w:r>
          </w:p>
          <w:p w14:paraId="18AFD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数据</w:t>
            </w:r>
          </w:p>
        </w:tc>
      </w:tr>
      <w:tr w14:paraId="22A9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23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8EC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资源配置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ED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门诊人次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DEB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181806</w:t>
            </w:r>
          </w:p>
        </w:tc>
      </w:tr>
      <w:tr w14:paraId="3C0D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4F7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92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出院人次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23E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12635</w:t>
            </w:r>
          </w:p>
        </w:tc>
      </w:tr>
      <w:tr w14:paraId="4F87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FC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74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核定床位数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B5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850</w:t>
            </w:r>
          </w:p>
        </w:tc>
      </w:tr>
      <w:tr w14:paraId="4FF4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22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9C7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开放床位数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2D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1116</w:t>
            </w:r>
          </w:p>
        </w:tc>
      </w:tr>
      <w:tr w14:paraId="0B8D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E4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56B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床医比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D5E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1:0.40</w:t>
            </w:r>
          </w:p>
        </w:tc>
      </w:tr>
      <w:tr w14:paraId="3DFD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C7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D9A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床护比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98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1:0.79</w:t>
            </w:r>
          </w:p>
        </w:tc>
      </w:tr>
      <w:tr w14:paraId="6627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C8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医疗效率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2E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平均住院天数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16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6.52</w:t>
            </w:r>
          </w:p>
        </w:tc>
      </w:tr>
      <w:tr w14:paraId="37DE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6C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 w:colFirst="2" w:colLast="2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医疗管理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3C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抗菌药物使用强度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C80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/>
              </w:rPr>
              <w:t>32.47</w:t>
            </w:r>
          </w:p>
        </w:tc>
      </w:tr>
      <w:tr w14:paraId="7AE4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3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890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医疗费用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DE6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门（急）诊次均费用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EE5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/>
              </w:rPr>
              <w:t>274.46</w:t>
            </w:r>
          </w:p>
        </w:tc>
      </w:tr>
      <w:tr w14:paraId="5692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DA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689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住院次均费用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985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/>
              </w:rPr>
              <w:t>6745.72</w:t>
            </w:r>
          </w:p>
        </w:tc>
      </w:tr>
      <w:bookmarkEnd w:id="0"/>
      <w:tr w14:paraId="657A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3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EF3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医院收入结构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46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药品收入（不含中药饮片）占比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87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25.20%</w:t>
            </w:r>
          </w:p>
        </w:tc>
      </w:tr>
      <w:tr w14:paraId="68FD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8B1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AD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中药饮片收入占比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CE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0.27%</w:t>
            </w:r>
          </w:p>
        </w:tc>
      </w:tr>
      <w:tr w14:paraId="6D48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8F1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C2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耗材收入占比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C6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12.35%</w:t>
            </w:r>
          </w:p>
        </w:tc>
      </w:tr>
      <w:tr w14:paraId="030A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267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B95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检查化验收入占比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F33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29.86%</w:t>
            </w:r>
          </w:p>
        </w:tc>
      </w:tr>
      <w:tr w14:paraId="2EDA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15C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B0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医疗服务收入占比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DB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32.32%</w:t>
            </w:r>
          </w:p>
        </w:tc>
      </w:tr>
    </w:tbl>
    <w:p w14:paraId="61F3E1E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</w:p>
    <w:p w14:paraId="4E1C04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27F6"/>
    <w:rsid w:val="109C2AE7"/>
    <w:rsid w:val="7569266F"/>
    <w:rsid w:val="7F9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242</Characters>
  <Lines>0</Lines>
  <Paragraphs>0</Paragraphs>
  <TotalTime>0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2025-07-16T01:00:00Z</dcterms:created>
  <dc:creator>Administrator</dc:creator>
  <cp:lastModifiedBy>坦尼可</cp:lastModifiedBy>
  <dcterms:modified xsi:type="dcterms:W3CDTF">2025-07-16T02:44:30Z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9C145BE407F547D99B7201CF38147F02_13</vt:lpwstr>
  </property>
  <property fmtid="{D5CDD505-2E9C-101B-9397-08002B2CF9AE}" pid="4" name="KSOTemplateDocerSaveRecord">
    <vt:lpwstr>eyJoZGlkIjoiMTQwMjhkNjllZWUyN2M2ZDc0OTlhZGM2MTU3NTI2YjciLCJ1c2VySWQiOiIyMTQ1Nzc5MDQifQ==</vt:lpwstr>
  </property>
</Properties>
</file>